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087D" w14:textId="5B33D220" w:rsidR="0002300F" w:rsidRPr="003112D7" w:rsidRDefault="003112D7" w:rsidP="003112D7">
      <w:pPr>
        <w:jc w:val="center"/>
        <w:rPr>
          <w:rFonts w:ascii="Times New Roman" w:hAnsi="Times New Roman" w:cs="Times New Roman"/>
          <w:b/>
          <w:bCs/>
          <w:sz w:val="28"/>
          <w:szCs w:val="28"/>
        </w:rPr>
      </w:pPr>
      <w:r w:rsidRPr="003112D7">
        <w:rPr>
          <w:rFonts w:ascii="Times New Roman" w:hAnsi="Times New Roman" w:cs="Times New Roman"/>
          <w:b/>
          <w:bCs/>
          <w:sz w:val="28"/>
          <w:szCs w:val="28"/>
        </w:rPr>
        <w:t xml:space="preserve">Does moratorium on </w:t>
      </w:r>
      <w:r w:rsidR="009A2DDB">
        <w:rPr>
          <w:rFonts w:ascii="Times New Roman" w:hAnsi="Times New Roman" w:cs="Times New Roman"/>
          <w:b/>
          <w:bCs/>
          <w:sz w:val="28"/>
          <w:szCs w:val="28"/>
        </w:rPr>
        <w:t>non-</w:t>
      </w:r>
      <w:r w:rsidRPr="003112D7">
        <w:rPr>
          <w:rFonts w:ascii="Times New Roman" w:hAnsi="Times New Roman" w:cs="Times New Roman"/>
          <w:b/>
          <w:bCs/>
          <w:sz w:val="28"/>
          <w:szCs w:val="28"/>
        </w:rPr>
        <w:t>renewals of fire insurance impact insurance premi</w:t>
      </w:r>
      <w:r>
        <w:rPr>
          <w:rFonts w:ascii="Times New Roman" w:hAnsi="Times New Roman" w:cs="Times New Roman"/>
          <w:b/>
          <w:bCs/>
          <w:sz w:val="28"/>
          <w:szCs w:val="28"/>
        </w:rPr>
        <w:t>ums</w:t>
      </w:r>
      <w:r w:rsidRPr="003112D7">
        <w:rPr>
          <w:rFonts w:ascii="Times New Roman" w:hAnsi="Times New Roman" w:cs="Times New Roman"/>
          <w:b/>
          <w:bCs/>
          <w:sz w:val="28"/>
          <w:szCs w:val="28"/>
        </w:rPr>
        <w:t>:</w:t>
      </w:r>
    </w:p>
    <w:p w14:paraId="52F652C4" w14:textId="3508BCF5" w:rsidR="003112D7" w:rsidRDefault="003112D7" w:rsidP="003112D7">
      <w:pPr>
        <w:jc w:val="center"/>
        <w:rPr>
          <w:rFonts w:ascii="Times New Roman" w:hAnsi="Times New Roman" w:cs="Times New Roman"/>
          <w:b/>
          <w:bCs/>
          <w:sz w:val="28"/>
          <w:szCs w:val="28"/>
        </w:rPr>
      </w:pPr>
      <w:r w:rsidRPr="003112D7">
        <w:rPr>
          <w:rFonts w:ascii="Times New Roman" w:hAnsi="Times New Roman" w:cs="Times New Roman"/>
          <w:b/>
          <w:bCs/>
          <w:sz w:val="28"/>
          <w:szCs w:val="28"/>
        </w:rPr>
        <w:t xml:space="preserve">Zip-code level evidence from </w:t>
      </w:r>
      <w:proofErr w:type="gramStart"/>
      <w:r w:rsidRPr="003112D7">
        <w:rPr>
          <w:rFonts w:ascii="Times New Roman" w:hAnsi="Times New Roman" w:cs="Times New Roman"/>
          <w:b/>
          <w:bCs/>
          <w:sz w:val="28"/>
          <w:szCs w:val="28"/>
        </w:rPr>
        <w:t>California</w:t>
      </w:r>
      <w:proofErr w:type="gramEnd"/>
    </w:p>
    <w:p w14:paraId="572BE95C" w14:textId="77777777" w:rsidR="003112D7" w:rsidRDefault="003112D7" w:rsidP="003112D7">
      <w:pPr>
        <w:jc w:val="center"/>
        <w:rPr>
          <w:rFonts w:ascii="Times New Roman" w:hAnsi="Times New Roman" w:cs="Times New Roman"/>
          <w:b/>
          <w:bCs/>
          <w:sz w:val="28"/>
          <w:szCs w:val="28"/>
        </w:rPr>
      </w:pPr>
    </w:p>
    <w:p w14:paraId="6841BFA7" w14:textId="00E97FB1" w:rsidR="00797431" w:rsidRDefault="00797431" w:rsidP="003112D7">
      <w:pPr>
        <w:jc w:val="center"/>
        <w:rPr>
          <w:rFonts w:ascii="Times New Roman" w:hAnsi="Times New Roman" w:cs="Times New Roman"/>
          <w:sz w:val="20"/>
          <w:szCs w:val="20"/>
        </w:rPr>
      </w:pPr>
      <w:r>
        <w:rPr>
          <w:rFonts w:ascii="Times New Roman" w:hAnsi="Times New Roman" w:cs="Times New Roman"/>
          <w:sz w:val="20"/>
          <w:szCs w:val="20"/>
        </w:rPr>
        <w:t xml:space="preserve">By </w:t>
      </w:r>
    </w:p>
    <w:p w14:paraId="5E4B18F0" w14:textId="74225A90" w:rsidR="00797431" w:rsidRDefault="00DB63A0" w:rsidP="003112D7">
      <w:pPr>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S. </w:t>
      </w:r>
      <w:r w:rsidR="00797431">
        <w:rPr>
          <w:rFonts w:ascii="Times New Roman" w:hAnsi="Times New Roman" w:cs="Times New Roman"/>
          <w:sz w:val="20"/>
          <w:szCs w:val="20"/>
        </w:rPr>
        <w:t>Sayantani</w:t>
      </w:r>
      <w:r>
        <w:rPr>
          <w:rFonts w:ascii="Times New Roman" w:hAnsi="Times New Roman" w:cs="Times New Roman"/>
          <w:sz w:val="20"/>
          <w:szCs w:val="20"/>
          <w:vertAlign w:val="superscript"/>
        </w:rPr>
        <w:t>1</w:t>
      </w:r>
    </w:p>
    <w:p w14:paraId="01B9029E" w14:textId="4642395A" w:rsidR="00797431" w:rsidRPr="00797431" w:rsidRDefault="00797431" w:rsidP="003112D7">
      <w:pPr>
        <w:jc w:val="center"/>
        <w:rPr>
          <w:rFonts w:ascii="Times New Roman" w:hAnsi="Times New Roman" w:cs="Times New Roman"/>
          <w:sz w:val="20"/>
          <w:szCs w:val="20"/>
        </w:rPr>
      </w:pPr>
      <w:r>
        <w:rPr>
          <w:rFonts w:ascii="Times New Roman" w:hAnsi="Times New Roman" w:cs="Times New Roman"/>
          <w:sz w:val="20"/>
          <w:szCs w:val="20"/>
        </w:rPr>
        <w:t xml:space="preserve">UCLA </w:t>
      </w:r>
      <w:proofErr w:type="spellStart"/>
      <w:r w:rsidR="00DB63A0">
        <w:rPr>
          <w:rFonts w:ascii="Times New Roman" w:hAnsi="Times New Roman" w:cs="Times New Roman"/>
          <w:sz w:val="20"/>
          <w:szCs w:val="20"/>
        </w:rPr>
        <w:t>Ziman</w:t>
      </w:r>
      <w:proofErr w:type="spellEnd"/>
      <w:r w:rsidR="00DB63A0">
        <w:rPr>
          <w:rFonts w:ascii="Times New Roman" w:hAnsi="Times New Roman" w:cs="Times New Roman"/>
          <w:sz w:val="20"/>
          <w:szCs w:val="20"/>
        </w:rPr>
        <w:t xml:space="preserve"> Center for Real Estate</w:t>
      </w:r>
    </w:p>
    <w:p w14:paraId="07B21AC9" w14:textId="77777777" w:rsidR="003112D7" w:rsidRDefault="003112D7" w:rsidP="003112D7">
      <w:pPr>
        <w:jc w:val="center"/>
        <w:rPr>
          <w:rFonts w:ascii="Times New Roman" w:hAnsi="Times New Roman" w:cs="Times New Roman"/>
          <w:b/>
          <w:bCs/>
          <w:sz w:val="28"/>
          <w:szCs w:val="28"/>
        </w:rPr>
      </w:pPr>
    </w:p>
    <w:p w14:paraId="4EE71AB8" w14:textId="7421479A" w:rsidR="003112D7" w:rsidRDefault="003112D7" w:rsidP="00DA6A0A">
      <w:pPr>
        <w:jc w:val="both"/>
        <w:rPr>
          <w:rFonts w:ascii="Times New Roman" w:hAnsi="Times New Roman" w:cs="Times New Roman"/>
          <w:sz w:val="22"/>
          <w:szCs w:val="22"/>
          <w:u w:val="single"/>
        </w:rPr>
      </w:pPr>
      <w:r w:rsidRPr="003112D7">
        <w:rPr>
          <w:rFonts w:ascii="Times New Roman" w:hAnsi="Times New Roman" w:cs="Times New Roman"/>
          <w:sz w:val="22"/>
          <w:szCs w:val="22"/>
          <w:u w:val="single"/>
        </w:rPr>
        <w:t>Abstract</w:t>
      </w:r>
    </w:p>
    <w:p w14:paraId="2A990922" w14:textId="1B8EE934" w:rsidR="003112D7" w:rsidRDefault="003112D7" w:rsidP="00DA6A0A">
      <w:pPr>
        <w:jc w:val="both"/>
        <w:rPr>
          <w:rFonts w:ascii="Times New Roman" w:hAnsi="Times New Roman" w:cs="Times New Roman"/>
          <w:sz w:val="22"/>
          <w:szCs w:val="22"/>
          <w:u w:val="single"/>
        </w:rPr>
      </w:pPr>
    </w:p>
    <w:p w14:paraId="79609479" w14:textId="1BD31347" w:rsidR="003112D7" w:rsidRDefault="003112D7" w:rsidP="00DA6A0A">
      <w:pPr>
        <w:jc w:val="both"/>
        <w:rPr>
          <w:rFonts w:ascii="Times New Roman" w:hAnsi="Times New Roman" w:cs="Times New Roman"/>
          <w:sz w:val="22"/>
          <w:szCs w:val="22"/>
        </w:rPr>
      </w:pPr>
      <w:r>
        <w:rPr>
          <w:rFonts w:ascii="Times New Roman" w:hAnsi="Times New Roman" w:cs="Times New Roman"/>
          <w:sz w:val="22"/>
          <w:szCs w:val="22"/>
        </w:rPr>
        <w:t xml:space="preserve">Wildfire incidences and the consequent withdrawal of residential insurance offerings by multiple insurance companies from across California preceded state-mandated insurance cancellation and non-renewal moratoria in certain zip-codes deemed to be prone to wildfire risk. Employing the moratorium information and annual reports on fire-insurance claims, the current paper attempts to estimate the impact of the moratorium on changes in insurance premium at the zip-code level. Within samples of zip-codes that encountered claims from fire damage, a treatment status is assigned to locations that had the moratorium in effect. Subsequently, a generalized difference-in-difference model is used to </w:t>
      </w:r>
      <w:r w:rsidR="0067122B">
        <w:rPr>
          <w:rFonts w:ascii="Times New Roman" w:hAnsi="Times New Roman" w:cs="Times New Roman"/>
          <w:sz w:val="22"/>
          <w:szCs w:val="22"/>
        </w:rPr>
        <w:t>provide suggestive evidence of</w:t>
      </w:r>
      <w:r>
        <w:rPr>
          <w:rFonts w:ascii="Times New Roman" w:hAnsi="Times New Roman" w:cs="Times New Roman"/>
          <w:sz w:val="22"/>
          <w:szCs w:val="22"/>
        </w:rPr>
        <w:t xml:space="preserve"> the average treatment effect of the moratoria on insurance premiums, controlling for time and place fixed effects. </w:t>
      </w:r>
      <w:r w:rsidR="00074D16">
        <w:rPr>
          <w:rFonts w:ascii="Times New Roman" w:hAnsi="Times New Roman" w:cs="Times New Roman"/>
          <w:sz w:val="22"/>
          <w:szCs w:val="22"/>
        </w:rPr>
        <w:t>The study provides evidence that, among multiple policies, policies related to o</w:t>
      </w:r>
      <w:r w:rsidR="00074D16" w:rsidRPr="00074D16">
        <w:rPr>
          <w:rFonts w:ascii="Times New Roman" w:hAnsi="Times New Roman" w:cs="Times New Roman"/>
          <w:sz w:val="22"/>
          <w:szCs w:val="22"/>
        </w:rPr>
        <w:t>wner-</w:t>
      </w:r>
      <w:r w:rsidR="00074D16">
        <w:rPr>
          <w:rFonts w:ascii="Times New Roman" w:hAnsi="Times New Roman" w:cs="Times New Roman"/>
          <w:sz w:val="22"/>
          <w:szCs w:val="22"/>
        </w:rPr>
        <w:t>o</w:t>
      </w:r>
      <w:r w:rsidR="00074D16" w:rsidRPr="00074D16">
        <w:rPr>
          <w:rFonts w:ascii="Times New Roman" w:hAnsi="Times New Roman" w:cs="Times New Roman"/>
          <w:sz w:val="22"/>
          <w:szCs w:val="22"/>
        </w:rPr>
        <w:t xml:space="preserve">ccupied </w:t>
      </w:r>
      <w:r w:rsidR="00074D16">
        <w:rPr>
          <w:rFonts w:ascii="Times New Roman" w:hAnsi="Times New Roman" w:cs="Times New Roman"/>
          <w:sz w:val="22"/>
          <w:szCs w:val="22"/>
        </w:rPr>
        <w:t>n</w:t>
      </w:r>
      <w:r w:rsidR="00074D16" w:rsidRPr="00074D16">
        <w:rPr>
          <w:rFonts w:ascii="Times New Roman" w:hAnsi="Times New Roman" w:cs="Times New Roman"/>
          <w:sz w:val="22"/>
          <w:szCs w:val="22"/>
        </w:rPr>
        <w:t>on-</w:t>
      </w:r>
      <w:r w:rsidR="00074D16">
        <w:rPr>
          <w:rFonts w:ascii="Times New Roman" w:hAnsi="Times New Roman" w:cs="Times New Roman"/>
          <w:sz w:val="22"/>
          <w:szCs w:val="22"/>
        </w:rPr>
        <w:t>c</w:t>
      </w:r>
      <w:r w:rsidR="00074D16" w:rsidRPr="00074D16">
        <w:rPr>
          <w:rFonts w:ascii="Times New Roman" w:hAnsi="Times New Roman" w:cs="Times New Roman"/>
          <w:sz w:val="22"/>
          <w:szCs w:val="22"/>
        </w:rPr>
        <w:t xml:space="preserve">atastrophic </w:t>
      </w:r>
      <w:r w:rsidR="00074D16">
        <w:rPr>
          <w:rFonts w:ascii="Times New Roman" w:hAnsi="Times New Roman" w:cs="Times New Roman"/>
          <w:sz w:val="22"/>
          <w:szCs w:val="22"/>
        </w:rPr>
        <w:t>s</w:t>
      </w:r>
      <w:r w:rsidR="00074D16" w:rsidRPr="00074D16">
        <w:rPr>
          <w:rFonts w:ascii="Times New Roman" w:hAnsi="Times New Roman" w:cs="Times New Roman"/>
          <w:sz w:val="22"/>
          <w:szCs w:val="22"/>
        </w:rPr>
        <w:t xml:space="preserve">tructural </w:t>
      </w:r>
      <w:r w:rsidR="00074D16">
        <w:rPr>
          <w:rFonts w:ascii="Times New Roman" w:hAnsi="Times New Roman" w:cs="Times New Roman"/>
          <w:sz w:val="22"/>
          <w:szCs w:val="22"/>
        </w:rPr>
        <w:t>f</w:t>
      </w:r>
      <w:r w:rsidR="00074D16" w:rsidRPr="00074D16">
        <w:rPr>
          <w:rFonts w:ascii="Times New Roman" w:hAnsi="Times New Roman" w:cs="Times New Roman"/>
          <w:sz w:val="22"/>
          <w:szCs w:val="22"/>
        </w:rPr>
        <w:t xml:space="preserve">ire </w:t>
      </w:r>
      <w:r w:rsidR="00074D16">
        <w:rPr>
          <w:rFonts w:ascii="Times New Roman" w:hAnsi="Times New Roman" w:cs="Times New Roman"/>
          <w:sz w:val="22"/>
          <w:szCs w:val="22"/>
        </w:rPr>
        <w:t>d</w:t>
      </w:r>
      <w:r w:rsidR="00074D16" w:rsidRPr="00074D16">
        <w:rPr>
          <w:rFonts w:ascii="Times New Roman" w:hAnsi="Times New Roman" w:cs="Times New Roman"/>
          <w:sz w:val="22"/>
          <w:szCs w:val="22"/>
        </w:rPr>
        <w:t>amage</w:t>
      </w:r>
      <w:r w:rsidR="00074D16">
        <w:rPr>
          <w:rFonts w:ascii="Times New Roman" w:hAnsi="Times New Roman" w:cs="Times New Roman"/>
          <w:sz w:val="22"/>
          <w:szCs w:val="22"/>
        </w:rPr>
        <w:t xml:space="preserve"> may be associated with higher premiums in locations that had the moratorium in place, relative to those that did not.</w:t>
      </w:r>
    </w:p>
    <w:p w14:paraId="5E5A99E8" w14:textId="77777777" w:rsidR="003112D7" w:rsidRDefault="003112D7" w:rsidP="00DA6A0A">
      <w:pPr>
        <w:jc w:val="both"/>
        <w:rPr>
          <w:rFonts w:ascii="Times New Roman" w:hAnsi="Times New Roman" w:cs="Times New Roman"/>
          <w:sz w:val="22"/>
          <w:szCs w:val="22"/>
        </w:rPr>
      </w:pPr>
    </w:p>
    <w:p w14:paraId="2E3027AB" w14:textId="77777777" w:rsidR="003112D7" w:rsidRDefault="003112D7" w:rsidP="00DA6A0A">
      <w:pPr>
        <w:jc w:val="both"/>
        <w:rPr>
          <w:rFonts w:ascii="Times New Roman" w:hAnsi="Times New Roman" w:cs="Times New Roman"/>
          <w:sz w:val="22"/>
          <w:szCs w:val="22"/>
        </w:rPr>
      </w:pPr>
    </w:p>
    <w:p w14:paraId="18761AA3" w14:textId="2F7ACDE3" w:rsidR="003112D7" w:rsidRDefault="003112D7" w:rsidP="00DA6A0A">
      <w:pPr>
        <w:jc w:val="both"/>
        <w:rPr>
          <w:rFonts w:ascii="Times New Roman" w:hAnsi="Times New Roman" w:cs="Times New Roman"/>
          <w:sz w:val="22"/>
          <w:szCs w:val="22"/>
          <w:u w:val="single"/>
        </w:rPr>
      </w:pPr>
      <w:r w:rsidRPr="003112D7">
        <w:rPr>
          <w:rFonts w:ascii="Times New Roman" w:hAnsi="Times New Roman" w:cs="Times New Roman"/>
          <w:sz w:val="22"/>
          <w:szCs w:val="22"/>
          <w:u w:val="single"/>
        </w:rPr>
        <w:t>Introduction</w:t>
      </w:r>
    </w:p>
    <w:p w14:paraId="50986262" w14:textId="77777777" w:rsidR="003112D7" w:rsidRDefault="003112D7" w:rsidP="00DA6A0A">
      <w:pPr>
        <w:jc w:val="both"/>
        <w:rPr>
          <w:rFonts w:ascii="Times New Roman" w:hAnsi="Times New Roman" w:cs="Times New Roman"/>
          <w:sz w:val="22"/>
          <w:szCs w:val="22"/>
          <w:u w:val="single"/>
        </w:rPr>
      </w:pPr>
    </w:p>
    <w:p w14:paraId="11AB83D4" w14:textId="18FB6A46" w:rsidR="003112D7" w:rsidRDefault="003112D7" w:rsidP="00DA6A0A">
      <w:pPr>
        <w:jc w:val="both"/>
        <w:rPr>
          <w:rFonts w:ascii="Times New Roman" w:hAnsi="Times New Roman" w:cs="Times New Roman"/>
          <w:sz w:val="22"/>
          <w:szCs w:val="22"/>
        </w:rPr>
      </w:pPr>
      <w:r>
        <w:rPr>
          <w:rFonts w:ascii="Times New Roman" w:hAnsi="Times New Roman" w:cs="Times New Roman"/>
          <w:sz w:val="22"/>
          <w:szCs w:val="22"/>
        </w:rPr>
        <w:t xml:space="preserve">According to the Reuters, </w:t>
      </w:r>
      <w:hyperlink r:id="rId7" w:history="1">
        <w:r w:rsidRPr="003112D7">
          <w:rPr>
            <w:rStyle w:val="Hyperlink"/>
            <w:rFonts w:ascii="Times New Roman" w:hAnsi="Times New Roman" w:cs="Times New Roman"/>
            <w:sz w:val="22"/>
            <w:szCs w:val="22"/>
          </w:rPr>
          <w:t>7 of the 10 largest</w:t>
        </w:r>
      </w:hyperlink>
      <w:r>
        <w:rPr>
          <w:rFonts w:ascii="Times New Roman" w:hAnsi="Times New Roman" w:cs="Times New Roman"/>
          <w:sz w:val="22"/>
          <w:szCs w:val="22"/>
        </w:rPr>
        <w:t xml:space="preserve"> wildfires in California happened after 2017. Unexpectedly, the last few years has also seen </w:t>
      </w:r>
      <w:hyperlink r:id="rId8" w:history="1">
        <w:r w:rsidRPr="003112D7">
          <w:rPr>
            <w:rStyle w:val="Hyperlink"/>
            <w:rFonts w:ascii="Times New Roman" w:hAnsi="Times New Roman" w:cs="Times New Roman"/>
            <w:sz w:val="22"/>
            <w:szCs w:val="22"/>
          </w:rPr>
          <w:t>withdrawal</w:t>
        </w:r>
      </w:hyperlink>
      <w:r>
        <w:rPr>
          <w:rFonts w:ascii="Times New Roman" w:hAnsi="Times New Roman" w:cs="Times New Roman"/>
          <w:sz w:val="22"/>
          <w:szCs w:val="22"/>
        </w:rPr>
        <w:t xml:space="preserve"> of multiple insurance companies from their California markets owing to the heavy losses from fire damage incurred by buyers of home-insurance. Consequently, the Insurance Commissioner at the Department of Insurance authored a bill to protect buyers of residential insurance. </w:t>
      </w:r>
      <w:r w:rsidRPr="003112D7">
        <w:rPr>
          <w:rFonts w:ascii="Times New Roman" w:hAnsi="Times New Roman" w:cs="Times New Roman"/>
          <w:sz w:val="22"/>
          <w:szCs w:val="22"/>
        </w:rPr>
        <w:t>This important consumer protection law requires a mandatory one-year moratorium on insurance companies cancelling or non-renewing residential insurance policies in certain areas within or adjacent to a fire perimeter after a declared state of emergency is issued by the Governor. Following a Governor declaration of a state of emergency, the Department of Insurance partners with CAL-FIRE and the Governor’s Office of Emergency Services to identify wildfire perimeters and adjacent ZIP codes within the mandatory moratorium areas. The protection from cancellation or non-renewal lasts for one year from the date of the Governor’s emergency declaration.</w:t>
      </w:r>
      <w:r>
        <w:rPr>
          <w:rFonts w:ascii="Times New Roman" w:hAnsi="Times New Roman" w:cs="Times New Roman"/>
          <w:sz w:val="22"/>
          <w:szCs w:val="22"/>
        </w:rPr>
        <w:t xml:space="preserve"> Each year starting 2010,</w:t>
      </w:r>
      <w:r w:rsidRPr="003112D7">
        <w:rPr>
          <w:rFonts w:ascii="Times New Roman" w:hAnsi="Times New Roman" w:cs="Times New Roman"/>
          <w:sz w:val="22"/>
          <w:szCs w:val="22"/>
        </w:rPr>
        <w:t xml:space="preserve"> </w:t>
      </w:r>
      <w:r>
        <w:rPr>
          <w:rFonts w:ascii="Times New Roman" w:hAnsi="Times New Roman" w:cs="Times New Roman"/>
          <w:sz w:val="22"/>
          <w:szCs w:val="22"/>
        </w:rPr>
        <w:t xml:space="preserve">multiple emergency declarations precede </w:t>
      </w:r>
      <w:hyperlink r:id="rId9" w:history="1">
        <w:r w:rsidRPr="003112D7">
          <w:rPr>
            <w:rStyle w:val="Hyperlink"/>
            <w:rFonts w:ascii="Times New Roman" w:hAnsi="Times New Roman" w:cs="Times New Roman"/>
            <w:sz w:val="22"/>
            <w:szCs w:val="22"/>
          </w:rPr>
          <w:t>one-year moratoria</w:t>
        </w:r>
      </w:hyperlink>
      <w:r>
        <w:rPr>
          <w:rFonts w:ascii="Times New Roman" w:hAnsi="Times New Roman" w:cs="Times New Roman"/>
          <w:sz w:val="22"/>
          <w:szCs w:val="22"/>
        </w:rPr>
        <w:t xml:space="preserve"> </w:t>
      </w:r>
      <w:r w:rsidRPr="003112D7">
        <w:rPr>
          <w:rFonts w:ascii="Times New Roman" w:hAnsi="Times New Roman" w:cs="Times New Roman"/>
          <w:sz w:val="22"/>
          <w:szCs w:val="22"/>
        </w:rPr>
        <w:t>protection</w:t>
      </w:r>
      <w:r>
        <w:rPr>
          <w:rFonts w:ascii="Times New Roman" w:hAnsi="Times New Roman" w:cs="Times New Roman"/>
          <w:sz w:val="22"/>
          <w:szCs w:val="22"/>
        </w:rPr>
        <w:t xml:space="preserve">s that </w:t>
      </w:r>
      <w:r w:rsidRPr="003112D7">
        <w:rPr>
          <w:rFonts w:ascii="Times New Roman" w:hAnsi="Times New Roman" w:cs="Times New Roman"/>
          <w:sz w:val="22"/>
          <w:szCs w:val="22"/>
        </w:rPr>
        <w:t>appl</w:t>
      </w:r>
      <w:r>
        <w:rPr>
          <w:rFonts w:ascii="Times New Roman" w:hAnsi="Times New Roman" w:cs="Times New Roman"/>
          <w:sz w:val="22"/>
          <w:szCs w:val="22"/>
        </w:rPr>
        <w:t>y</w:t>
      </w:r>
      <w:r w:rsidRPr="003112D7">
        <w:rPr>
          <w:rFonts w:ascii="Times New Roman" w:hAnsi="Times New Roman" w:cs="Times New Roman"/>
          <w:sz w:val="22"/>
          <w:szCs w:val="22"/>
        </w:rPr>
        <w:t xml:space="preserve"> to all residential policyholders within the affected areas who suffer less than a total loss, including those who suffer no loss</w:t>
      </w:r>
      <w:r>
        <w:rPr>
          <w:rFonts w:ascii="Times New Roman" w:hAnsi="Times New Roman" w:cs="Times New Roman"/>
          <w:sz w:val="22"/>
          <w:szCs w:val="22"/>
        </w:rPr>
        <w:t>.</w:t>
      </w:r>
    </w:p>
    <w:p w14:paraId="5A554FA9" w14:textId="305BF0A9" w:rsidR="003112D7" w:rsidRDefault="003112D7" w:rsidP="00DA6A0A">
      <w:pPr>
        <w:pStyle w:val="NormalWeb"/>
        <w:shd w:val="clear" w:color="auto" w:fill="FFFFFF"/>
        <w:jc w:val="both"/>
        <w:rPr>
          <w:color w:val="222222"/>
          <w:sz w:val="22"/>
          <w:szCs w:val="22"/>
        </w:rPr>
      </w:pPr>
      <w:r>
        <w:rPr>
          <w:sz w:val="22"/>
          <w:szCs w:val="22"/>
        </w:rPr>
        <w:t xml:space="preserve">In terms </w:t>
      </w:r>
      <w:r w:rsidRPr="003112D7">
        <w:rPr>
          <w:sz w:val="22"/>
          <w:szCs w:val="22"/>
        </w:rPr>
        <w:t xml:space="preserve">of insurance information, the law requires the California Department of Insurance to collect data from admitted insurers with $10 million or more of California written premium to help address availability and affordability issues in the homeowners’ insurance market because of wildfires. The Department has been updating the dataset to include aggregate wildfire loss data from 2018, 2019, 2020, and 2021 including </w:t>
      </w:r>
      <w:r w:rsidRPr="003112D7">
        <w:rPr>
          <w:color w:val="222222"/>
          <w:sz w:val="22"/>
          <w:szCs w:val="22"/>
        </w:rPr>
        <w:t xml:space="preserve">data on </w:t>
      </w:r>
      <w:r>
        <w:rPr>
          <w:color w:val="222222"/>
          <w:sz w:val="22"/>
          <w:szCs w:val="22"/>
        </w:rPr>
        <w:t>f</w:t>
      </w:r>
      <w:r w:rsidRPr="003112D7">
        <w:rPr>
          <w:color w:val="222222"/>
          <w:sz w:val="22"/>
          <w:szCs w:val="22"/>
        </w:rPr>
        <w:t>ire- or wildfire-incurred losses, reported by property coverage category and the date of the loss</w:t>
      </w:r>
      <w:r>
        <w:rPr>
          <w:color w:val="222222"/>
          <w:sz w:val="22"/>
          <w:szCs w:val="22"/>
        </w:rPr>
        <w:t>, p</w:t>
      </w:r>
      <w:r w:rsidRPr="003112D7">
        <w:rPr>
          <w:color w:val="222222"/>
          <w:sz w:val="22"/>
          <w:szCs w:val="22"/>
        </w:rPr>
        <w:t>remium</w:t>
      </w:r>
      <w:r>
        <w:rPr>
          <w:color w:val="222222"/>
          <w:sz w:val="22"/>
          <w:szCs w:val="22"/>
        </w:rPr>
        <w:t xml:space="preserve"> and </w:t>
      </w:r>
      <w:r w:rsidRPr="003112D7">
        <w:rPr>
          <w:color w:val="222222"/>
          <w:sz w:val="22"/>
          <w:szCs w:val="22"/>
        </w:rPr>
        <w:t>ZIP Code.</w:t>
      </w:r>
      <w:r>
        <w:rPr>
          <w:color w:val="222222"/>
          <w:sz w:val="22"/>
          <w:szCs w:val="22"/>
        </w:rPr>
        <w:t xml:space="preserve"> </w:t>
      </w:r>
      <w:r w:rsidR="00DA6A0A">
        <w:rPr>
          <w:color w:val="222222"/>
          <w:sz w:val="22"/>
          <w:szCs w:val="22"/>
        </w:rPr>
        <w:t>Using an intersection of the insurance data and the moratorium data, the current paper attempts to investigate the impact of the insurance non-renewal moratorium on annual non-renewal outcomes, and in changes to annual insurance earned premiums. The analysis on earned premiums are subject to subsamples (of the total data) that had fire-related or smoke-related damage</w:t>
      </w:r>
      <w:r w:rsidR="00227DCF">
        <w:rPr>
          <w:color w:val="222222"/>
          <w:sz w:val="22"/>
          <w:szCs w:val="22"/>
        </w:rPr>
        <w:t xml:space="preserve"> </w:t>
      </w:r>
      <w:r w:rsidR="00DA6A0A">
        <w:rPr>
          <w:color w:val="222222"/>
          <w:sz w:val="22"/>
          <w:szCs w:val="22"/>
        </w:rPr>
        <w:t xml:space="preserve">claims made at any time observed in the sample. </w:t>
      </w:r>
    </w:p>
    <w:p w14:paraId="2A6647DA" w14:textId="14F2092C" w:rsidR="00757A0A" w:rsidRDefault="00757A0A" w:rsidP="00DA6A0A">
      <w:pPr>
        <w:pStyle w:val="NormalWeb"/>
        <w:shd w:val="clear" w:color="auto" w:fill="FFFFFF"/>
        <w:jc w:val="both"/>
        <w:rPr>
          <w:color w:val="222222"/>
          <w:sz w:val="22"/>
          <w:szCs w:val="22"/>
        </w:rPr>
      </w:pPr>
      <w:r>
        <w:rPr>
          <w:color w:val="222222"/>
          <w:sz w:val="22"/>
          <w:szCs w:val="22"/>
        </w:rPr>
        <w:lastRenderedPageBreak/>
        <w:t xml:space="preserve">There could be multiple forces at play in this story. Among locations that have observed fire or smoke-related insurance claims, the inability of insurance companies to cancel or not renew their residential policies might lead to a higher premium for their customers relative to locations that did not have the mandate on non-renewals. However, the insurance companies may have foreseen this mandate and dropped the policies held by consumers in fire-prone areas before the mandate went into effect leading to a reduction in premiums. This same outcome might have resulted from a spill-over effect to insurance companies noticing the mandates being implemented in neighboring regions. With the annual data at hand, it is difficult to evaluate </w:t>
      </w:r>
      <w:r w:rsidR="0052253D">
        <w:rPr>
          <w:color w:val="222222"/>
          <w:sz w:val="22"/>
          <w:szCs w:val="22"/>
        </w:rPr>
        <w:t xml:space="preserve">and differentiate between </w:t>
      </w:r>
      <w:r>
        <w:rPr>
          <w:color w:val="222222"/>
          <w:sz w:val="22"/>
          <w:szCs w:val="22"/>
        </w:rPr>
        <w:t xml:space="preserve">these mechanisms </w:t>
      </w:r>
      <w:r w:rsidR="0052253D">
        <w:rPr>
          <w:color w:val="222222"/>
          <w:sz w:val="22"/>
          <w:szCs w:val="22"/>
        </w:rPr>
        <w:t xml:space="preserve"> to conclusively say which one had</w:t>
      </w:r>
      <w:r>
        <w:rPr>
          <w:color w:val="222222"/>
          <w:sz w:val="22"/>
          <w:szCs w:val="22"/>
        </w:rPr>
        <w:t xml:space="preserve"> larger role to play, since the moratoria was adopted in a staggered manner over multiple months in 2020. However, an analysis</w:t>
      </w:r>
      <w:r w:rsidR="0052253D">
        <w:rPr>
          <w:color w:val="222222"/>
          <w:sz w:val="22"/>
          <w:szCs w:val="22"/>
        </w:rPr>
        <w:t xml:space="preserve"> of an approximately accurate period of moratorium on places that did have fire-damage related claims made can help provide an overview of the final direction in which the insurance premium moved in places that had the moratorium in effect, as opposed to those that did not. This result can inform policymakers of the unintended short-term or long-term consequences of such moratoria. </w:t>
      </w:r>
    </w:p>
    <w:p w14:paraId="452532B4" w14:textId="47583DFF" w:rsidR="008F109E" w:rsidRDefault="003112D7" w:rsidP="00DA6A0A">
      <w:pPr>
        <w:pStyle w:val="NormalWeb"/>
        <w:shd w:val="clear" w:color="auto" w:fill="FFFFFF"/>
        <w:jc w:val="both"/>
        <w:rPr>
          <w:color w:val="222222"/>
          <w:sz w:val="22"/>
          <w:szCs w:val="22"/>
        </w:rPr>
      </w:pPr>
      <w:r>
        <w:rPr>
          <w:color w:val="222222"/>
          <w:sz w:val="22"/>
          <w:szCs w:val="22"/>
        </w:rPr>
        <w:t>T</w:t>
      </w:r>
      <w:r w:rsidR="00227DCF">
        <w:rPr>
          <w:color w:val="222222"/>
          <w:sz w:val="22"/>
          <w:szCs w:val="22"/>
        </w:rPr>
        <w:t>o explore these questions, the</w:t>
      </w:r>
      <w:r>
        <w:rPr>
          <w:color w:val="222222"/>
          <w:sz w:val="22"/>
          <w:szCs w:val="22"/>
        </w:rPr>
        <w:t xml:space="preserve"> current paper creates a novel panel of 2 sample universes using the data from the insurance reports and the moratorium information collected by the California Department of insurance. Both panels have </w:t>
      </w:r>
      <w:r w:rsidR="00DA6A0A">
        <w:rPr>
          <w:color w:val="222222"/>
          <w:sz w:val="22"/>
          <w:szCs w:val="22"/>
        </w:rPr>
        <w:t xml:space="preserve">annual data on </w:t>
      </w:r>
      <w:r>
        <w:rPr>
          <w:color w:val="222222"/>
          <w:sz w:val="22"/>
          <w:szCs w:val="22"/>
        </w:rPr>
        <w:t xml:space="preserve">some zip-codes that were under the moratorium starting 2019 and a larger set of locations that </w:t>
      </w:r>
      <w:r w:rsidR="00DA6A0A">
        <w:rPr>
          <w:color w:val="222222"/>
          <w:sz w:val="22"/>
          <w:szCs w:val="22"/>
        </w:rPr>
        <w:t>never adopted</w:t>
      </w:r>
      <w:r>
        <w:rPr>
          <w:color w:val="222222"/>
          <w:sz w:val="22"/>
          <w:szCs w:val="22"/>
        </w:rPr>
        <w:t xml:space="preserve"> the moratorium. The panels consist of zip-code level moratorium status, new insurance uptake, insurance renewal numbers, insurer</w:t>
      </w:r>
      <w:r w:rsidR="00DA6A0A">
        <w:rPr>
          <w:color w:val="222222"/>
          <w:sz w:val="22"/>
          <w:szCs w:val="22"/>
        </w:rPr>
        <w:t>-initiated</w:t>
      </w:r>
      <w:r>
        <w:rPr>
          <w:color w:val="222222"/>
          <w:sz w:val="22"/>
          <w:szCs w:val="22"/>
        </w:rPr>
        <w:t xml:space="preserve"> and insured-initiated non-renewal numbers across the years. They also consist of zip-code level annual earned premiums, losses and claims made for catastrophic and non-catastrophic fire damage to structures and properties for homeowners (HO), owner-owned dwellings (DO)</w:t>
      </w:r>
      <w:r w:rsidR="00EE4168">
        <w:rPr>
          <w:color w:val="222222"/>
          <w:sz w:val="22"/>
          <w:szCs w:val="22"/>
        </w:rPr>
        <w:t xml:space="preserve">, </w:t>
      </w:r>
      <w:r>
        <w:rPr>
          <w:color w:val="222222"/>
          <w:sz w:val="22"/>
          <w:szCs w:val="22"/>
        </w:rPr>
        <w:t>tenant-owned dwellings (DT)</w:t>
      </w:r>
      <w:r w:rsidR="00EE4168">
        <w:rPr>
          <w:color w:val="222222"/>
          <w:sz w:val="22"/>
          <w:szCs w:val="22"/>
        </w:rPr>
        <w:t xml:space="preserve"> and renters/tenants (RT)</w:t>
      </w:r>
      <w:r>
        <w:rPr>
          <w:color w:val="222222"/>
          <w:sz w:val="22"/>
          <w:szCs w:val="22"/>
        </w:rPr>
        <w:t>.</w:t>
      </w:r>
      <w:r w:rsidR="00DA6A0A">
        <w:rPr>
          <w:color w:val="222222"/>
          <w:sz w:val="22"/>
          <w:szCs w:val="22"/>
        </w:rPr>
        <w:t xml:space="preserve"> </w:t>
      </w:r>
      <w:r w:rsidR="00AD0197">
        <w:rPr>
          <w:color w:val="222222"/>
          <w:sz w:val="22"/>
          <w:szCs w:val="22"/>
        </w:rPr>
        <w:t>While one of the samples have the moratorium in effect in 2019 and 2020 (in a 3</w:t>
      </w:r>
      <w:r w:rsidR="008F109E">
        <w:rPr>
          <w:color w:val="222222"/>
          <w:sz w:val="22"/>
          <w:szCs w:val="22"/>
        </w:rPr>
        <w:t>-</w:t>
      </w:r>
      <w:r w:rsidR="00AD0197">
        <w:rPr>
          <w:color w:val="222222"/>
          <w:sz w:val="22"/>
          <w:szCs w:val="22"/>
        </w:rPr>
        <w:t>year panel starting 2018), the other one has the moratorium in effect in from 2019 all through 2021 (in a 4-year panel ending 2021).</w:t>
      </w:r>
      <w:r w:rsidR="008F109E">
        <w:rPr>
          <w:color w:val="222222"/>
          <w:sz w:val="22"/>
          <w:szCs w:val="22"/>
        </w:rPr>
        <w:t xml:space="preserve"> While the 3-year panel shows the effect of moratoria on non-renewals when it is in effect for only 2 years, the 4-year panel helps investigate longer-term impacts of the moratorium.</w:t>
      </w:r>
    </w:p>
    <w:p w14:paraId="64E052EB" w14:textId="77777777" w:rsidR="0067122B" w:rsidRDefault="00E907C1" w:rsidP="00DA6A0A">
      <w:pPr>
        <w:pStyle w:val="NormalWeb"/>
        <w:shd w:val="clear" w:color="auto" w:fill="FFFFFF"/>
        <w:jc w:val="both"/>
        <w:rPr>
          <w:color w:val="222222"/>
          <w:sz w:val="22"/>
          <w:szCs w:val="22"/>
        </w:rPr>
      </w:pPr>
      <w:r>
        <w:rPr>
          <w:color w:val="222222"/>
          <w:sz w:val="22"/>
          <w:szCs w:val="22"/>
        </w:rPr>
        <w:t>The first step of the empirical analyses involves identifying individual subsets of zip-codes that have observed at least one claim from the many different types of fire-damage related polic</w:t>
      </w:r>
      <w:r w:rsidR="00687DCA">
        <w:rPr>
          <w:color w:val="222222"/>
          <w:sz w:val="22"/>
          <w:szCs w:val="22"/>
        </w:rPr>
        <w:t>y claims made</w:t>
      </w:r>
      <w:r>
        <w:rPr>
          <w:color w:val="222222"/>
          <w:sz w:val="22"/>
          <w:szCs w:val="22"/>
        </w:rPr>
        <w:t xml:space="preserve">. Then, within each of these sub-samples, the model assigns a treatment status to those zip-codes that had the moratorium on insurance non-renewals in effect and a control status to those zip-codes that did not have the moratorium in effect. </w:t>
      </w:r>
      <w:r w:rsidR="008F109E">
        <w:rPr>
          <w:color w:val="222222"/>
          <w:sz w:val="22"/>
          <w:szCs w:val="22"/>
        </w:rPr>
        <w:t xml:space="preserve">The </w:t>
      </w:r>
      <w:r>
        <w:rPr>
          <w:color w:val="222222"/>
          <w:sz w:val="22"/>
          <w:szCs w:val="22"/>
        </w:rPr>
        <w:t xml:space="preserve">model specifications used </w:t>
      </w:r>
      <w:r w:rsidR="008F109E">
        <w:rPr>
          <w:color w:val="222222"/>
          <w:sz w:val="22"/>
          <w:szCs w:val="22"/>
        </w:rPr>
        <w:t>in both the sample</w:t>
      </w:r>
      <w:r>
        <w:rPr>
          <w:color w:val="222222"/>
          <w:sz w:val="22"/>
          <w:szCs w:val="22"/>
        </w:rPr>
        <w:t xml:space="preserve"> universes</w:t>
      </w:r>
      <w:r w:rsidR="008F109E">
        <w:rPr>
          <w:color w:val="222222"/>
          <w:sz w:val="22"/>
          <w:szCs w:val="22"/>
        </w:rPr>
        <w:t xml:space="preserve"> include </w:t>
      </w:r>
      <w:r w:rsidR="0094191C">
        <w:rPr>
          <w:color w:val="222222"/>
          <w:sz w:val="22"/>
          <w:szCs w:val="22"/>
        </w:rPr>
        <w:t xml:space="preserve">location and time fixed effects to elicit the relationship between changes in insurance premium and moratorium status controlling for idiosyncratic </w:t>
      </w:r>
      <w:r>
        <w:rPr>
          <w:color w:val="222222"/>
          <w:sz w:val="22"/>
          <w:szCs w:val="22"/>
        </w:rPr>
        <w:t>geographic and time-based patterns</w:t>
      </w:r>
      <w:r w:rsidR="0094191C">
        <w:rPr>
          <w:color w:val="222222"/>
          <w:sz w:val="22"/>
          <w:szCs w:val="22"/>
        </w:rPr>
        <w:t xml:space="preserve">. The first set of results from each panel explores </w:t>
      </w:r>
      <w:r>
        <w:rPr>
          <w:color w:val="222222"/>
          <w:sz w:val="22"/>
          <w:szCs w:val="22"/>
        </w:rPr>
        <w:t xml:space="preserve">the impact controlling for </w:t>
      </w:r>
      <w:r w:rsidR="0094191C">
        <w:rPr>
          <w:color w:val="222222"/>
          <w:sz w:val="22"/>
          <w:szCs w:val="22"/>
        </w:rPr>
        <w:t>city and year fixed effects while the next set of results include zip-code and year fixed effects. The model with zip-code and year fixed effects is</w:t>
      </w:r>
      <w:r>
        <w:rPr>
          <w:color w:val="222222"/>
          <w:sz w:val="22"/>
          <w:szCs w:val="22"/>
        </w:rPr>
        <w:t>,</w:t>
      </w:r>
      <w:r w:rsidR="0094191C">
        <w:rPr>
          <w:color w:val="222222"/>
          <w:sz w:val="22"/>
          <w:szCs w:val="22"/>
        </w:rPr>
        <w:t xml:space="preserve"> in this case</w:t>
      </w:r>
      <w:r>
        <w:rPr>
          <w:color w:val="222222"/>
          <w:sz w:val="22"/>
          <w:szCs w:val="22"/>
        </w:rPr>
        <w:t>,</w:t>
      </w:r>
      <w:r w:rsidR="0094191C">
        <w:rPr>
          <w:color w:val="222222"/>
          <w:sz w:val="22"/>
          <w:szCs w:val="22"/>
        </w:rPr>
        <w:t xml:space="preserve"> a generalized difference-in-difference model or more commonly, the two-way fixed effects (TWFE) model. The primary results in the TWFE model identify the average treatment effect o</w:t>
      </w:r>
      <w:r>
        <w:rPr>
          <w:color w:val="222222"/>
          <w:sz w:val="22"/>
          <w:szCs w:val="22"/>
        </w:rPr>
        <w:t>n</w:t>
      </w:r>
      <w:r w:rsidR="0094191C">
        <w:rPr>
          <w:color w:val="222222"/>
          <w:sz w:val="22"/>
          <w:szCs w:val="22"/>
        </w:rPr>
        <w:t xml:space="preserve"> the </w:t>
      </w:r>
      <w:r>
        <w:rPr>
          <w:color w:val="222222"/>
          <w:sz w:val="22"/>
          <w:szCs w:val="22"/>
        </w:rPr>
        <w:t xml:space="preserve">treated zip-codes in terms of the extent to which the moratorium </w:t>
      </w:r>
      <w:r w:rsidR="00AF71CC">
        <w:rPr>
          <w:color w:val="222222"/>
          <w:sz w:val="22"/>
          <w:szCs w:val="22"/>
        </w:rPr>
        <w:t>impacted the earned premium</w:t>
      </w:r>
      <w:r w:rsidR="00687DCA">
        <w:rPr>
          <w:color w:val="222222"/>
          <w:sz w:val="22"/>
          <w:szCs w:val="22"/>
        </w:rPr>
        <w:t>, in locations that suffered some type of fire damage.</w:t>
      </w:r>
    </w:p>
    <w:p w14:paraId="2C5ED7A6" w14:textId="0FDA933B" w:rsidR="00691A38" w:rsidRDefault="0067122B" w:rsidP="00DA6A0A">
      <w:pPr>
        <w:pStyle w:val="NormalWeb"/>
        <w:shd w:val="clear" w:color="auto" w:fill="FFFFFF"/>
        <w:jc w:val="both"/>
        <w:rPr>
          <w:color w:val="222222"/>
          <w:sz w:val="22"/>
          <w:szCs w:val="22"/>
        </w:rPr>
      </w:pPr>
      <w:r>
        <w:rPr>
          <w:color w:val="222222"/>
          <w:sz w:val="22"/>
          <w:szCs w:val="22"/>
        </w:rPr>
        <w:t>A limitation of the data is the absence of monthly moratorium adoption and outcome variation. So, as the study depends on annual approximations of the monthly treatment adoption, in the absence of more granular data on treatment status, only suggestive evidence can be provided o</w:t>
      </w:r>
      <w:r w:rsidR="004E2408">
        <w:rPr>
          <w:color w:val="222222"/>
          <w:sz w:val="22"/>
          <w:szCs w:val="22"/>
        </w:rPr>
        <w:t>n</w:t>
      </w:r>
      <w:r>
        <w:rPr>
          <w:color w:val="222222"/>
          <w:sz w:val="22"/>
          <w:szCs w:val="22"/>
        </w:rPr>
        <w:t xml:space="preserve"> </w:t>
      </w:r>
      <w:r w:rsidR="004E2408">
        <w:rPr>
          <w:color w:val="222222"/>
          <w:sz w:val="22"/>
          <w:szCs w:val="22"/>
        </w:rPr>
        <w:t>how</w:t>
      </w:r>
      <w:r>
        <w:rPr>
          <w:color w:val="222222"/>
          <w:sz w:val="22"/>
          <w:szCs w:val="22"/>
        </w:rPr>
        <w:t xml:space="preserve"> the moratorium </w:t>
      </w:r>
      <w:r w:rsidR="004E2408">
        <w:rPr>
          <w:color w:val="222222"/>
          <w:sz w:val="22"/>
          <w:szCs w:val="22"/>
        </w:rPr>
        <w:t xml:space="preserve">affects </w:t>
      </w:r>
      <w:r>
        <w:rPr>
          <w:color w:val="222222"/>
          <w:sz w:val="22"/>
          <w:szCs w:val="22"/>
        </w:rPr>
        <w:t xml:space="preserve">insurance premium. The rest of the study builds on this suggestive evidence while attempting to control for as much of the time and location level variation as possible, with the data drawback in effect. </w:t>
      </w:r>
      <w:r w:rsidR="004E2408">
        <w:rPr>
          <w:color w:val="222222"/>
          <w:sz w:val="22"/>
          <w:szCs w:val="22"/>
        </w:rPr>
        <w:t xml:space="preserve">While non-renewal of fire insurance protects consumers from large-scale costs related to fire damage, evidence on how moratorium on non-renewals, in locations that observe fire incidences, may help identify costs that are borne by consumers in terms of higher premiums. Consequently, a possible policy prescription from the </w:t>
      </w:r>
      <w:r w:rsidR="004E2408">
        <w:rPr>
          <w:color w:val="222222"/>
          <w:sz w:val="22"/>
          <w:szCs w:val="22"/>
        </w:rPr>
        <w:lastRenderedPageBreak/>
        <w:t xml:space="preserve">study may be in exercising caution when mandating a non-renewal of insurance, or even in focusing on the type of policies that are covered by the moratorium. </w:t>
      </w:r>
    </w:p>
    <w:p w14:paraId="2338C298" w14:textId="77777777" w:rsidR="004E2408" w:rsidRDefault="004E2408" w:rsidP="00DA6A0A">
      <w:pPr>
        <w:pStyle w:val="NormalWeb"/>
        <w:shd w:val="clear" w:color="auto" w:fill="FFFFFF"/>
        <w:jc w:val="both"/>
        <w:rPr>
          <w:color w:val="222222"/>
          <w:sz w:val="22"/>
          <w:szCs w:val="22"/>
        </w:rPr>
      </w:pPr>
    </w:p>
    <w:p w14:paraId="2DBCD3E5" w14:textId="77777777" w:rsidR="003112D7" w:rsidRDefault="003112D7" w:rsidP="00DA6A0A">
      <w:pPr>
        <w:pStyle w:val="NormalWeb"/>
        <w:shd w:val="clear" w:color="auto" w:fill="FFFFFF"/>
        <w:jc w:val="both"/>
        <w:rPr>
          <w:color w:val="222222"/>
          <w:sz w:val="22"/>
          <w:szCs w:val="22"/>
        </w:rPr>
      </w:pPr>
      <w:r w:rsidRPr="003112D7">
        <w:rPr>
          <w:color w:val="222222"/>
          <w:sz w:val="22"/>
          <w:szCs w:val="22"/>
          <w:u w:val="single"/>
        </w:rPr>
        <w:t>Data</w:t>
      </w:r>
      <w:r>
        <w:rPr>
          <w:color w:val="222222"/>
          <w:sz w:val="22"/>
          <w:szCs w:val="22"/>
        </w:rPr>
        <w:t>:</w:t>
      </w:r>
    </w:p>
    <w:p w14:paraId="0E86C358" w14:textId="052639DC" w:rsidR="003112D7" w:rsidRDefault="00DA6A0A" w:rsidP="00DA6A0A">
      <w:pPr>
        <w:pStyle w:val="NormalWeb"/>
        <w:shd w:val="clear" w:color="auto" w:fill="FFFFFF"/>
        <w:jc w:val="both"/>
        <w:rPr>
          <w:color w:val="222222"/>
          <w:sz w:val="22"/>
          <w:szCs w:val="22"/>
        </w:rPr>
      </w:pPr>
      <w:r>
        <w:rPr>
          <w:color w:val="222222"/>
          <w:sz w:val="22"/>
          <w:szCs w:val="22"/>
        </w:rPr>
        <w:t xml:space="preserve">The insurance data is derived from the </w:t>
      </w:r>
      <w:r w:rsidRPr="00DA6A0A">
        <w:rPr>
          <w:color w:val="222222"/>
          <w:sz w:val="22"/>
          <w:szCs w:val="22"/>
        </w:rPr>
        <w:t>Wildfire-Risk-Information-by-PPC-Score-Residential-and-Personal-Property-Coverage-Amounts-and-Losses-by-ZIP-Code</w:t>
      </w:r>
      <w:r>
        <w:rPr>
          <w:color w:val="222222"/>
          <w:sz w:val="22"/>
          <w:szCs w:val="22"/>
        </w:rPr>
        <w:t xml:space="preserve"> for 2018-2021, available from the California Department of Insurance. From</w:t>
      </w:r>
      <w:r w:rsidR="003112D7">
        <w:rPr>
          <w:color w:val="222222"/>
          <w:sz w:val="22"/>
          <w:szCs w:val="22"/>
        </w:rPr>
        <w:t xml:space="preserve"> a</w:t>
      </w:r>
      <w:r w:rsidR="003112D7" w:rsidRPr="003112D7">
        <w:rPr>
          <w:color w:val="222222"/>
          <w:sz w:val="22"/>
          <w:szCs w:val="22"/>
        </w:rPr>
        <w:t xml:space="preserve"> total of 82 individual admitted companies submitted data in 2022 for experience years 2020 and/or 2021.</w:t>
      </w:r>
      <w:r w:rsidR="003112D7">
        <w:rPr>
          <w:color w:val="222222"/>
          <w:sz w:val="22"/>
          <w:szCs w:val="22"/>
        </w:rPr>
        <w:t xml:space="preserve"> </w:t>
      </w:r>
      <w:r w:rsidR="003112D7" w:rsidRPr="003112D7">
        <w:rPr>
          <w:color w:val="222222"/>
          <w:sz w:val="22"/>
          <w:szCs w:val="22"/>
        </w:rPr>
        <w:t>From the total of 82 insurers in 2022</w:t>
      </w:r>
      <w:r>
        <w:rPr>
          <w:color w:val="222222"/>
          <w:sz w:val="22"/>
          <w:szCs w:val="22"/>
        </w:rPr>
        <w:t>,</w:t>
      </w:r>
      <w:r w:rsidR="003112D7">
        <w:rPr>
          <w:color w:val="222222"/>
          <w:sz w:val="22"/>
          <w:szCs w:val="22"/>
        </w:rPr>
        <w:t xml:space="preserve"> </w:t>
      </w:r>
      <w:r w:rsidR="003112D7" w:rsidRPr="003112D7">
        <w:rPr>
          <w:color w:val="222222"/>
          <w:sz w:val="22"/>
          <w:szCs w:val="22"/>
        </w:rPr>
        <w:t xml:space="preserve">about 68% of the </w:t>
      </w:r>
      <w:r w:rsidR="003112D7">
        <w:rPr>
          <w:color w:val="222222"/>
          <w:sz w:val="22"/>
          <w:szCs w:val="22"/>
        </w:rPr>
        <w:t>h</w:t>
      </w:r>
      <w:r w:rsidR="003112D7" w:rsidRPr="003112D7">
        <w:rPr>
          <w:color w:val="222222"/>
          <w:sz w:val="22"/>
          <w:szCs w:val="22"/>
        </w:rPr>
        <w:t>ome</w:t>
      </w:r>
      <w:r w:rsidR="008F109E">
        <w:rPr>
          <w:color w:val="222222"/>
          <w:sz w:val="22"/>
          <w:szCs w:val="22"/>
        </w:rPr>
        <w:t>-</w:t>
      </w:r>
      <w:r w:rsidR="003112D7" w:rsidRPr="003112D7">
        <w:rPr>
          <w:color w:val="222222"/>
          <w:sz w:val="22"/>
          <w:szCs w:val="22"/>
        </w:rPr>
        <w:t>owners insurance market</w:t>
      </w:r>
      <w:r w:rsidR="003112D7">
        <w:rPr>
          <w:color w:val="222222"/>
          <w:sz w:val="22"/>
          <w:szCs w:val="22"/>
        </w:rPr>
        <w:t xml:space="preserve"> provided a public protection classification (PPC) code</w:t>
      </w:r>
      <w:r w:rsidR="003112D7" w:rsidRPr="003112D7">
        <w:rPr>
          <w:color w:val="222222"/>
          <w:sz w:val="22"/>
          <w:szCs w:val="22"/>
        </w:rPr>
        <w:t>.  For experience years 2018 and/or 2019, 76 insurers provided relevant data in 2020. Of these 76 insurers, 43 insurers provided both PPC and fire risk classification.</w:t>
      </w:r>
      <w:r w:rsidR="003112D7">
        <w:rPr>
          <w:color w:val="222222"/>
          <w:sz w:val="22"/>
          <w:szCs w:val="22"/>
        </w:rPr>
        <w:t xml:space="preserve"> </w:t>
      </w:r>
      <w:r w:rsidR="003112D7" w:rsidRPr="003112D7">
        <w:rPr>
          <w:color w:val="222222"/>
          <w:sz w:val="22"/>
          <w:szCs w:val="22"/>
        </w:rPr>
        <w:t>In 2020, the fire risk classification and PPC code were reported together</w:t>
      </w:r>
      <w:r w:rsidR="003112D7">
        <w:rPr>
          <w:color w:val="222222"/>
          <w:sz w:val="22"/>
          <w:szCs w:val="22"/>
        </w:rPr>
        <w:t xml:space="preserve">. </w:t>
      </w:r>
      <w:r w:rsidR="003112D7" w:rsidRPr="003112D7">
        <w:rPr>
          <w:color w:val="222222"/>
          <w:sz w:val="22"/>
          <w:szCs w:val="22"/>
        </w:rPr>
        <w:t xml:space="preserve">The earned premiums from this subset of insurers represents about 49% of the </w:t>
      </w:r>
      <w:r w:rsidR="00691A38">
        <w:rPr>
          <w:color w:val="222222"/>
          <w:sz w:val="22"/>
          <w:szCs w:val="22"/>
        </w:rPr>
        <w:t>h</w:t>
      </w:r>
      <w:r w:rsidR="00691A38" w:rsidRPr="003112D7">
        <w:rPr>
          <w:color w:val="222222"/>
          <w:sz w:val="22"/>
          <w:szCs w:val="22"/>
        </w:rPr>
        <w:t>omeowner’s</w:t>
      </w:r>
      <w:r w:rsidR="003112D7" w:rsidRPr="003112D7">
        <w:rPr>
          <w:color w:val="222222"/>
          <w:sz w:val="22"/>
          <w:szCs w:val="22"/>
        </w:rPr>
        <w:t xml:space="preserve"> insurance market.</w:t>
      </w:r>
      <w:r w:rsidR="003112D7">
        <w:rPr>
          <w:color w:val="222222"/>
          <w:sz w:val="22"/>
          <w:szCs w:val="22"/>
        </w:rPr>
        <w:t xml:space="preserve"> </w:t>
      </w:r>
      <w:r w:rsidR="003112D7" w:rsidRPr="003112D7">
        <w:rPr>
          <w:color w:val="222222"/>
          <w:sz w:val="22"/>
          <w:szCs w:val="22"/>
        </w:rPr>
        <w:t>The total premiums earned by these admitted insurers for all experience years,</w:t>
      </w:r>
      <w:r w:rsidR="003112D7">
        <w:rPr>
          <w:color w:val="222222"/>
          <w:sz w:val="22"/>
          <w:szCs w:val="22"/>
        </w:rPr>
        <w:t xml:space="preserve"> </w:t>
      </w:r>
      <w:r w:rsidR="003112D7" w:rsidRPr="003112D7">
        <w:rPr>
          <w:color w:val="222222"/>
          <w:sz w:val="22"/>
          <w:szCs w:val="22"/>
        </w:rPr>
        <w:t xml:space="preserve">represent approximately 99% of the NAIC Line 04 (Homeowners) insurance market. </w:t>
      </w:r>
    </w:p>
    <w:p w14:paraId="7F53A961" w14:textId="77D2F7E4" w:rsidR="003112D7" w:rsidRPr="00026AE3" w:rsidRDefault="003112D7" w:rsidP="00026AE3">
      <w:pPr>
        <w:pStyle w:val="NormalWeb"/>
        <w:shd w:val="clear" w:color="auto" w:fill="FFFFFF"/>
        <w:jc w:val="both"/>
        <w:rPr>
          <w:color w:val="222222"/>
          <w:sz w:val="22"/>
          <w:szCs w:val="22"/>
        </w:rPr>
      </w:pPr>
      <w:r>
        <w:rPr>
          <w:color w:val="222222"/>
          <w:sz w:val="22"/>
          <w:szCs w:val="22"/>
        </w:rPr>
        <w:t>Sample 1 consists of data from 2018-2020 and sample 2 consists of data from 2018-2021. From this point onwards, the paper refers to panel-1 as “short panel” and panel-2 as “long panel”. The short panel consists of a total of 643 zip-codes out of which 109 have the moratorium in place in 2019 through 2020 and 534 zip-codes that never have the moratorium. The long panel consists of a total of 464 zip-codes out of which 56 have the moratorium in place in 2019 through 2021 and 406 zip-codes that never have the moratorium.</w:t>
      </w:r>
    </w:p>
    <w:p w14:paraId="43657221" w14:textId="71707957" w:rsidR="00C268FB" w:rsidRDefault="003112D7" w:rsidP="00DA6A0A">
      <w:pPr>
        <w:jc w:val="both"/>
        <w:rPr>
          <w:rFonts w:ascii="Times New Roman" w:hAnsi="Times New Roman" w:cs="Times New Roman"/>
          <w:sz w:val="22"/>
          <w:szCs w:val="22"/>
        </w:rPr>
      </w:pPr>
      <w:r w:rsidRPr="003112D7">
        <w:rPr>
          <w:rFonts w:ascii="Times New Roman" w:hAnsi="Times New Roman" w:cs="Times New Roman"/>
          <w:sz w:val="22"/>
          <w:szCs w:val="22"/>
        </w:rPr>
        <w:t>All counties that adopted the moratorium in a staggered fashion in 20</w:t>
      </w:r>
      <w:r w:rsidR="00A30CF8">
        <w:rPr>
          <w:rFonts w:ascii="Times New Roman" w:hAnsi="Times New Roman" w:cs="Times New Roman"/>
          <w:sz w:val="22"/>
          <w:szCs w:val="22"/>
        </w:rPr>
        <w:t>20</w:t>
      </w:r>
      <w:r w:rsidRPr="003112D7">
        <w:rPr>
          <w:rFonts w:ascii="Times New Roman" w:hAnsi="Times New Roman" w:cs="Times New Roman"/>
          <w:sz w:val="22"/>
          <w:szCs w:val="22"/>
        </w:rPr>
        <w:t xml:space="preserve"> and 202</w:t>
      </w:r>
      <w:r w:rsidR="00A30CF8">
        <w:rPr>
          <w:rFonts w:ascii="Times New Roman" w:hAnsi="Times New Roman" w:cs="Times New Roman"/>
          <w:sz w:val="22"/>
          <w:szCs w:val="22"/>
        </w:rPr>
        <w:t>1</w:t>
      </w:r>
      <w:r w:rsidRPr="003112D7">
        <w:rPr>
          <w:rFonts w:ascii="Times New Roman" w:hAnsi="Times New Roman" w:cs="Times New Roman"/>
          <w:sz w:val="22"/>
          <w:szCs w:val="22"/>
        </w:rPr>
        <w:t xml:space="preserve"> have been ignored for a simpler and cleaner difference-in-difference structure.</w:t>
      </w:r>
      <w:r w:rsidR="00A30CF8">
        <w:rPr>
          <w:rFonts w:ascii="Times New Roman" w:hAnsi="Times New Roman" w:cs="Times New Roman"/>
          <w:sz w:val="22"/>
          <w:szCs w:val="22"/>
        </w:rPr>
        <w:t xml:space="preserve"> </w:t>
      </w:r>
      <w:r w:rsidRPr="003112D7">
        <w:rPr>
          <w:rFonts w:ascii="Times New Roman" w:hAnsi="Times New Roman" w:cs="Times New Roman"/>
          <w:sz w:val="22"/>
          <w:szCs w:val="22"/>
        </w:rPr>
        <w:t>Note that for each of the regression models discussed in the paper, a subsequent subsample of these panels is used based on zip-codes that encountered fire-damage in any of the years under observation. This ensures that the analysis correctly identifies the effect of moratorium only within the set of locations that had positive fire-insurance claims/losses associated with them.</w:t>
      </w:r>
      <w:r w:rsidR="008F109E">
        <w:rPr>
          <w:rFonts w:ascii="Times New Roman" w:hAnsi="Times New Roman" w:cs="Times New Roman"/>
          <w:sz w:val="22"/>
          <w:szCs w:val="22"/>
        </w:rPr>
        <w:t xml:space="preserve"> As such, all the regression results that follow specify the subsets of the samples applicable for that model.</w:t>
      </w:r>
    </w:p>
    <w:p w14:paraId="7DB33A46" w14:textId="77777777" w:rsidR="00C268FB" w:rsidRDefault="00C268FB" w:rsidP="00C268FB">
      <w:pPr>
        <w:jc w:val="both"/>
        <w:rPr>
          <w:rFonts w:ascii="Times New Roman" w:hAnsi="Times New Roman" w:cs="Times New Roman"/>
          <w:sz w:val="22"/>
          <w:szCs w:val="22"/>
        </w:rPr>
      </w:pPr>
    </w:p>
    <w:p w14:paraId="5FCF9686" w14:textId="77777777" w:rsidR="00C268FB" w:rsidRDefault="00C268FB" w:rsidP="00C268FB">
      <w:pPr>
        <w:jc w:val="both"/>
        <w:rPr>
          <w:rFonts w:ascii="Times New Roman" w:hAnsi="Times New Roman" w:cs="Times New Roman"/>
          <w:sz w:val="22"/>
          <w:szCs w:val="22"/>
        </w:rPr>
      </w:pPr>
      <w:r>
        <w:rPr>
          <w:rFonts w:ascii="Times New Roman" w:hAnsi="Times New Roman" w:cs="Times New Roman"/>
          <w:sz w:val="22"/>
          <w:szCs w:val="22"/>
        </w:rPr>
        <w:t xml:space="preserve">The 2 panels include information on the </w:t>
      </w:r>
      <w:r w:rsidRPr="00CB1248">
        <w:rPr>
          <w:rFonts w:ascii="Times New Roman" w:hAnsi="Times New Roman" w:cs="Times New Roman"/>
          <w:sz w:val="22"/>
          <w:szCs w:val="22"/>
        </w:rPr>
        <w:t>zip-code level moratorium status, new insurance uptake, insurance renewal numbers, insurer-initiated and insured-initiated non-renewal numbers across the years</w:t>
      </w:r>
      <w:r>
        <w:rPr>
          <w:rFonts w:ascii="Times New Roman" w:hAnsi="Times New Roman" w:cs="Times New Roman"/>
          <w:sz w:val="22"/>
          <w:szCs w:val="22"/>
        </w:rPr>
        <w:t xml:space="preserve"> from the </w:t>
      </w:r>
      <w:r w:rsidRPr="00CB1248">
        <w:rPr>
          <w:rFonts w:ascii="Times New Roman" w:hAnsi="Times New Roman" w:cs="Times New Roman"/>
          <w:sz w:val="22"/>
          <w:szCs w:val="22"/>
        </w:rPr>
        <w:t>C</w:t>
      </w:r>
      <w:r>
        <w:rPr>
          <w:rFonts w:ascii="Times New Roman" w:hAnsi="Times New Roman" w:cs="Times New Roman"/>
          <w:sz w:val="22"/>
          <w:szCs w:val="22"/>
        </w:rPr>
        <w:t>alifornia Department of Insurance</w:t>
      </w:r>
      <w:r w:rsidRPr="00CB1248">
        <w:rPr>
          <w:rFonts w:ascii="Times New Roman" w:hAnsi="Times New Roman" w:cs="Times New Roman"/>
          <w:sz w:val="22"/>
          <w:szCs w:val="22"/>
        </w:rPr>
        <w:t xml:space="preserve"> Policy Count Data F</w:t>
      </w:r>
      <w:r>
        <w:rPr>
          <w:rFonts w:ascii="Times New Roman" w:hAnsi="Times New Roman" w:cs="Times New Roman"/>
          <w:sz w:val="22"/>
          <w:szCs w:val="22"/>
        </w:rPr>
        <w:t>act Sheet from</w:t>
      </w:r>
      <w:r w:rsidRPr="00CB1248">
        <w:rPr>
          <w:rFonts w:ascii="Times New Roman" w:hAnsi="Times New Roman" w:cs="Times New Roman"/>
          <w:sz w:val="22"/>
          <w:szCs w:val="22"/>
        </w:rPr>
        <w:t xml:space="preserve"> 2015-2021</w:t>
      </w:r>
      <w:r>
        <w:rPr>
          <w:rFonts w:ascii="Times New Roman" w:hAnsi="Times New Roman" w:cs="Times New Roman"/>
          <w:sz w:val="22"/>
          <w:szCs w:val="22"/>
        </w:rPr>
        <w:t>. The average (with standard deviations in brackets) values of these metrics for Panel 1 are listed below:</w:t>
      </w:r>
    </w:p>
    <w:p w14:paraId="47A50414" w14:textId="77777777" w:rsidR="002A49B8" w:rsidRDefault="002A49B8" w:rsidP="00C268FB">
      <w:pPr>
        <w:jc w:val="both"/>
        <w:rPr>
          <w:rFonts w:ascii="Times New Roman" w:hAnsi="Times New Roman" w:cs="Times New Roman"/>
          <w:sz w:val="22"/>
          <w:szCs w:val="22"/>
        </w:rPr>
      </w:pPr>
    </w:p>
    <w:p w14:paraId="39CE7FB3" w14:textId="77777777" w:rsidR="00C268FB" w:rsidRDefault="00C268FB" w:rsidP="00C268FB">
      <w:pPr>
        <w:jc w:val="both"/>
        <w:rPr>
          <w:rFonts w:ascii="Times New Roman" w:hAnsi="Times New Roman" w:cs="Times New Roman"/>
          <w:sz w:val="22"/>
          <w:szCs w:val="22"/>
        </w:rPr>
      </w:pPr>
    </w:p>
    <w:p w14:paraId="4205DAE2" w14:textId="5BD1DC1A" w:rsidR="00C268FB" w:rsidRDefault="00C268FB" w:rsidP="00C268FB">
      <w:pPr>
        <w:jc w:val="center"/>
        <w:rPr>
          <w:rFonts w:ascii="Times New Roman" w:hAnsi="Times New Roman" w:cs="Times New Roman"/>
          <w:sz w:val="22"/>
          <w:szCs w:val="22"/>
        </w:rPr>
      </w:pPr>
      <w:r>
        <w:rPr>
          <w:rFonts w:ascii="Times New Roman" w:hAnsi="Times New Roman" w:cs="Times New Roman"/>
          <w:sz w:val="22"/>
          <w:szCs w:val="22"/>
        </w:rPr>
        <w:t xml:space="preserve">Table 1: </w:t>
      </w:r>
      <w:r w:rsidR="006B2130">
        <w:rPr>
          <w:rFonts w:ascii="Times New Roman" w:hAnsi="Times New Roman" w:cs="Times New Roman"/>
          <w:sz w:val="22"/>
          <w:szCs w:val="22"/>
        </w:rPr>
        <w:t xml:space="preserve">Short panel </w:t>
      </w:r>
      <w:r w:rsidR="00691A38">
        <w:rPr>
          <w:rFonts w:ascii="Times New Roman" w:hAnsi="Times New Roman" w:cs="Times New Roman"/>
          <w:sz w:val="22"/>
          <w:szCs w:val="22"/>
        </w:rPr>
        <w:t>–</w:t>
      </w:r>
      <w:r w:rsidR="006B2130">
        <w:rPr>
          <w:rFonts w:ascii="Times New Roman" w:hAnsi="Times New Roman" w:cs="Times New Roman"/>
          <w:sz w:val="22"/>
          <w:szCs w:val="22"/>
        </w:rPr>
        <w:t xml:space="preserve"> </w:t>
      </w:r>
      <w:r>
        <w:rPr>
          <w:rFonts w:ascii="Times New Roman" w:hAnsi="Times New Roman" w:cs="Times New Roman"/>
          <w:sz w:val="22"/>
          <w:szCs w:val="22"/>
        </w:rPr>
        <w:t xml:space="preserve">New insurance and renewals by </w:t>
      </w:r>
      <w:r w:rsidR="00BF128B">
        <w:rPr>
          <w:rFonts w:ascii="Times New Roman" w:hAnsi="Times New Roman" w:cs="Times New Roman"/>
          <w:sz w:val="22"/>
          <w:szCs w:val="22"/>
        </w:rPr>
        <w:t xml:space="preserve">control and treatment counties </w:t>
      </w:r>
    </w:p>
    <w:tbl>
      <w:tblPr>
        <w:tblStyle w:val="PlainTable5"/>
        <w:tblW w:w="9630" w:type="dxa"/>
        <w:tblLook w:val="04A0" w:firstRow="1" w:lastRow="0" w:firstColumn="1" w:lastColumn="0" w:noHBand="0" w:noVBand="1"/>
      </w:tblPr>
      <w:tblGrid>
        <w:gridCol w:w="2997"/>
        <w:gridCol w:w="1039"/>
        <w:gridCol w:w="1123"/>
        <w:gridCol w:w="1056"/>
        <w:gridCol w:w="1101"/>
        <w:gridCol w:w="1259"/>
        <w:gridCol w:w="833"/>
        <w:gridCol w:w="222"/>
      </w:tblGrid>
      <w:tr w:rsidR="002A49B8" w14:paraId="66D1002E" w14:textId="77777777" w:rsidTr="00871C2C">
        <w:trPr>
          <w:gridAfter w:val="1"/>
          <w:cnfStyle w:val="100000000000" w:firstRow="1" w:lastRow="0" w:firstColumn="0" w:lastColumn="0" w:oddVBand="0" w:evenVBand="0" w:oddHBand="0" w:evenHBand="0" w:firstRowFirstColumn="0" w:firstRowLastColumn="0" w:lastRowFirstColumn="0" w:lastRowLastColumn="0"/>
          <w:wAfter w:w="222" w:type="dxa"/>
        </w:trPr>
        <w:tc>
          <w:tcPr>
            <w:cnfStyle w:val="001000000100" w:firstRow="0" w:lastRow="0" w:firstColumn="1" w:lastColumn="0" w:oddVBand="0" w:evenVBand="0" w:oddHBand="0" w:evenHBand="0" w:firstRowFirstColumn="1" w:firstRowLastColumn="0" w:lastRowFirstColumn="0" w:lastRowLastColumn="0"/>
            <w:tcW w:w="2997" w:type="dxa"/>
            <w:tcBorders>
              <w:top w:val="single" w:sz="4" w:space="0" w:color="auto"/>
            </w:tcBorders>
          </w:tcPr>
          <w:p w14:paraId="75AAD64E" w14:textId="77777777" w:rsidR="00C268FB" w:rsidRDefault="00C268FB" w:rsidP="00A55035">
            <w:pPr>
              <w:jc w:val="both"/>
              <w:rPr>
                <w:rFonts w:ascii="Times New Roman" w:hAnsi="Times New Roman" w:cs="Times New Roman"/>
                <w:sz w:val="22"/>
                <w:szCs w:val="22"/>
              </w:rPr>
            </w:pPr>
          </w:p>
        </w:tc>
        <w:tc>
          <w:tcPr>
            <w:tcW w:w="3218" w:type="dxa"/>
            <w:gridSpan w:val="3"/>
            <w:tcBorders>
              <w:top w:val="single" w:sz="4" w:space="0" w:color="auto"/>
            </w:tcBorders>
          </w:tcPr>
          <w:p w14:paraId="35EC761B" w14:textId="670ED2A3" w:rsidR="00C268FB" w:rsidRPr="00F27009" w:rsidRDefault="00626C0B" w:rsidP="00A5503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Pr>
                <w:rFonts w:ascii="Times New Roman" w:hAnsi="Times New Roman" w:cs="Times New Roman"/>
                <w:b/>
                <w:bCs/>
                <w:sz w:val="22"/>
                <w:szCs w:val="22"/>
              </w:rPr>
              <w:t>Among</w:t>
            </w:r>
            <w:r w:rsidR="00C268FB" w:rsidRPr="00F27009">
              <w:rPr>
                <w:rFonts w:ascii="Times New Roman" w:hAnsi="Times New Roman" w:cs="Times New Roman"/>
                <w:b/>
                <w:bCs/>
                <w:sz w:val="22"/>
                <w:szCs w:val="22"/>
              </w:rPr>
              <w:t xml:space="preserve"> zip codes that </w:t>
            </w:r>
            <w:r w:rsidR="002A49B8">
              <w:rPr>
                <w:rFonts w:ascii="Times New Roman" w:hAnsi="Times New Roman" w:cs="Times New Roman"/>
                <w:b/>
                <w:bCs/>
                <w:sz w:val="22"/>
                <w:szCs w:val="22"/>
              </w:rPr>
              <w:t>did not have</w:t>
            </w:r>
            <w:r w:rsidR="00C268FB" w:rsidRPr="00F27009">
              <w:rPr>
                <w:rFonts w:ascii="Times New Roman" w:hAnsi="Times New Roman" w:cs="Times New Roman"/>
                <w:b/>
                <w:bCs/>
                <w:sz w:val="22"/>
                <w:szCs w:val="22"/>
              </w:rPr>
              <w:t xml:space="preserve"> moratorium in place</w:t>
            </w:r>
          </w:p>
        </w:tc>
        <w:tc>
          <w:tcPr>
            <w:tcW w:w="3193" w:type="dxa"/>
            <w:gridSpan w:val="3"/>
            <w:tcBorders>
              <w:top w:val="single" w:sz="4" w:space="0" w:color="auto"/>
            </w:tcBorders>
          </w:tcPr>
          <w:p w14:paraId="4B7BC8BE" w14:textId="751B492D" w:rsidR="00C268FB" w:rsidRPr="00F27009" w:rsidRDefault="00626C0B" w:rsidP="00626C0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Pr>
                <w:rFonts w:ascii="Times New Roman" w:hAnsi="Times New Roman" w:cs="Times New Roman"/>
                <w:b/>
                <w:bCs/>
                <w:sz w:val="22"/>
                <w:szCs w:val="22"/>
              </w:rPr>
              <w:t>Among</w:t>
            </w:r>
            <w:r w:rsidR="00C268FB" w:rsidRPr="00F27009">
              <w:rPr>
                <w:rFonts w:ascii="Times New Roman" w:hAnsi="Times New Roman" w:cs="Times New Roman"/>
                <w:b/>
                <w:bCs/>
                <w:sz w:val="22"/>
                <w:szCs w:val="22"/>
              </w:rPr>
              <w:t xml:space="preserve"> zip codes that ha</w:t>
            </w:r>
            <w:r w:rsidR="002A49B8">
              <w:rPr>
                <w:rFonts w:ascii="Times New Roman" w:hAnsi="Times New Roman" w:cs="Times New Roman"/>
                <w:b/>
                <w:bCs/>
                <w:sz w:val="22"/>
                <w:szCs w:val="22"/>
              </w:rPr>
              <w:t>d</w:t>
            </w:r>
            <w:r w:rsidR="00C268FB" w:rsidRPr="00F27009">
              <w:rPr>
                <w:rFonts w:ascii="Times New Roman" w:hAnsi="Times New Roman" w:cs="Times New Roman"/>
                <w:b/>
                <w:bCs/>
                <w:sz w:val="22"/>
                <w:szCs w:val="22"/>
              </w:rPr>
              <w:t xml:space="preserve"> moratorium in place</w:t>
            </w:r>
          </w:p>
        </w:tc>
      </w:tr>
      <w:tr w:rsidR="002A49B8" w14:paraId="150226F4" w14:textId="77777777" w:rsidTr="0087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7" w:type="dxa"/>
          </w:tcPr>
          <w:p w14:paraId="7B00D8C6" w14:textId="77777777" w:rsidR="00C268FB" w:rsidRDefault="00C268FB" w:rsidP="00A55035">
            <w:pPr>
              <w:jc w:val="both"/>
              <w:rPr>
                <w:rFonts w:ascii="Times New Roman" w:hAnsi="Times New Roman" w:cs="Times New Roman"/>
                <w:sz w:val="22"/>
                <w:szCs w:val="22"/>
              </w:rPr>
            </w:pPr>
          </w:p>
        </w:tc>
        <w:tc>
          <w:tcPr>
            <w:tcW w:w="1039" w:type="dxa"/>
            <w:tcBorders>
              <w:bottom w:val="single" w:sz="4" w:space="0" w:color="auto"/>
            </w:tcBorders>
            <w:shd w:val="clear" w:color="auto" w:fill="D9D9D9" w:themeFill="background1" w:themeFillShade="D9"/>
          </w:tcPr>
          <w:p w14:paraId="6A890BA1" w14:textId="77777777" w:rsidR="00C268FB" w:rsidRPr="00F27009" w:rsidRDefault="00C268FB" w:rsidP="00A550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rPr>
            </w:pPr>
            <w:r w:rsidRPr="00F27009">
              <w:rPr>
                <w:rFonts w:ascii="Times New Roman" w:hAnsi="Times New Roman" w:cs="Times New Roman"/>
                <w:i/>
                <w:iCs/>
                <w:sz w:val="22"/>
                <w:szCs w:val="22"/>
              </w:rPr>
              <w:t>2018</w:t>
            </w:r>
          </w:p>
        </w:tc>
        <w:tc>
          <w:tcPr>
            <w:tcW w:w="1123" w:type="dxa"/>
            <w:tcBorders>
              <w:bottom w:val="single" w:sz="4" w:space="0" w:color="auto"/>
            </w:tcBorders>
            <w:shd w:val="clear" w:color="auto" w:fill="D9D9D9" w:themeFill="background1" w:themeFillShade="D9"/>
          </w:tcPr>
          <w:p w14:paraId="26900851" w14:textId="77777777" w:rsidR="00C268FB" w:rsidRPr="00F27009" w:rsidRDefault="00C268FB" w:rsidP="00A550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rPr>
            </w:pPr>
            <w:r w:rsidRPr="00F27009">
              <w:rPr>
                <w:rFonts w:ascii="Times New Roman" w:hAnsi="Times New Roman" w:cs="Times New Roman"/>
                <w:i/>
                <w:iCs/>
                <w:sz w:val="22"/>
                <w:szCs w:val="22"/>
              </w:rPr>
              <w:t>2019</w:t>
            </w:r>
          </w:p>
        </w:tc>
        <w:tc>
          <w:tcPr>
            <w:tcW w:w="1056" w:type="dxa"/>
            <w:tcBorders>
              <w:bottom w:val="single" w:sz="4" w:space="0" w:color="auto"/>
            </w:tcBorders>
            <w:shd w:val="clear" w:color="auto" w:fill="D9D9D9" w:themeFill="background1" w:themeFillShade="D9"/>
          </w:tcPr>
          <w:p w14:paraId="7E9BC352" w14:textId="77777777" w:rsidR="00C268FB" w:rsidRPr="00F27009" w:rsidRDefault="00C268FB" w:rsidP="00A550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rPr>
            </w:pPr>
            <w:r w:rsidRPr="00F27009">
              <w:rPr>
                <w:rFonts w:ascii="Times New Roman" w:hAnsi="Times New Roman" w:cs="Times New Roman"/>
                <w:i/>
                <w:iCs/>
                <w:sz w:val="22"/>
                <w:szCs w:val="22"/>
              </w:rPr>
              <w:t>2020</w:t>
            </w:r>
          </w:p>
        </w:tc>
        <w:tc>
          <w:tcPr>
            <w:tcW w:w="1101" w:type="dxa"/>
            <w:tcBorders>
              <w:bottom w:val="single" w:sz="4" w:space="0" w:color="auto"/>
            </w:tcBorders>
            <w:shd w:val="clear" w:color="auto" w:fill="D9D9D9" w:themeFill="background1" w:themeFillShade="D9"/>
          </w:tcPr>
          <w:p w14:paraId="38A10DF6" w14:textId="77777777" w:rsidR="00C268FB" w:rsidRPr="00F27009" w:rsidRDefault="00C268FB" w:rsidP="00A550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rPr>
            </w:pPr>
            <w:r w:rsidRPr="00F27009">
              <w:rPr>
                <w:rFonts w:ascii="Times New Roman" w:hAnsi="Times New Roman" w:cs="Times New Roman"/>
                <w:i/>
                <w:iCs/>
                <w:sz w:val="22"/>
                <w:szCs w:val="22"/>
              </w:rPr>
              <w:t>2018</w:t>
            </w:r>
          </w:p>
        </w:tc>
        <w:tc>
          <w:tcPr>
            <w:tcW w:w="1259" w:type="dxa"/>
            <w:tcBorders>
              <w:bottom w:val="single" w:sz="4" w:space="0" w:color="auto"/>
            </w:tcBorders>
            <w:shd w:val="clear" w:color="auto" w:fill="D9D9D9" w:themeFill="background1" w:themeFillShade="D9"/>
          </w:tcPr>
          <w:p w14:paraId="15A162DF" w14:textId="77777777" w:rsidR="00C268FB" w:rsidRPr="00F27009" w:rsidRDefault="00C268FB" w:rsidP="00A550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rPr>
            </w:pPr>
            <w:r w:rsidRPr="00F27009">
              <w:rPr>
                <w:rFonts w:ascii="Times New Roman" w:hAnsi="Times New Roman" w:cs="Times New Roman"/>
                <w:i/>
                <w:iCs/>
                <w:sz w:val="22"/>
                <w:szCs w:val="22"/>
              </w:rPr>
              <w:t>2019</w:t>
            </w:r>
          </w:p>
        </w:tc>
        <w:tc>
          <w:tcPr>
            <w:tcW w:w="1055" w:type="dxa"/>
            <w:gridSpan w:val="2"/>
            <w:tcBorders>
              <w:bottom w:val="single" w:sz="4" w:space="0" w:color="auto"/>
            </w:tcBorders>
            <w:shd w:val="clear" w:color="auto" w:fill="D9D9D9" w:themeFill="background1" w:themeFillShade="D9"/>
          </w:tcPr>
          <w:p w14:paraId="6B5AC9F2" w14:textId="77777777" w:rsidR="00C268FB" w:rsidRPr="00F27009" w:rsidRDefault="00C268FB" w:rsidP="00A550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rPr>
            </w:pPr>
            <w:r w:rsidRPr="00F27009">
              <w:rPr>
                <w:rFonts w:ascii="Times New Roman" w:hAnsi="Times New Roman" w:cs="Times New Roman"/>
                <w:i/>
                <w:iCs/>
                <w:sz w:val="22"/>
                <w:szCs w:val="22"/>
              </w:rPr>
              <w:t>2020</w:t>
            </w:r>
          </w:p>
        </w:tc>
      </w:tr>
      <w:tr w:rsidR="002A49B8" w14:paraId="05306969" w14:textId="77777777" w:rsidTr="00871C2C">
        <w:tc>
          <w:tcPr>
            <w:cnfStyle w:val="001000000000" w:firstRow="0" w:lastRow="0" w:firstColumn="1" w:lastColumn="0" w:oddVBand="0" w:evenVBand="0" w:oddHBand="0" w:evenHBand="0" w:firstRowFirstColumn="0" w:firstRowLastColumn="0" w:lastRowFirstColumn="0" w:lastRowLastColumn="0"/>
            <w:tcW w:w="2997" w:type="dxa"/>
          </w:tcPr>
          <w:p w14:paraId="0E9D109F" w14:textId="77777777" w:rsidR="00C268FB" w:rsidRPr="00F27009" w:rsidRDefault="00C268FB" w:rsidP="00A55035">
            <w:pPr>
              <w:rPr>
                <w:rFonts w:ascii="Times New Roman" w:hAnsi="Times New Roman" w:cs="Times New Roman"/>
                <w:b/>
                <w:bCs/>
                <w:sz w:val="22"/>
                <w:szCs w:val="22"/>
              </w:rPr>
            </w:pPr>
          </w:p>
        </w:tc>
        <w:tc>
          <w:tcPr>
            <w:tcW w:w="1039" w:type="dxa"/>
            <w:tcBorders>
              <w:top w:val="single" w:sz="4" w:space="0" w:color="auto"/>
            </w:tcBorders>
          </w:tcPr>
          <w:p w14:paraId="3A935D28" w14:textId="77777777" w:rsidR="00C268FB" w:rsidRDefault="00C268FB" w:rsidP="00A550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23" w:type="dxa"/>
            <w:tcBorders>
              <w:top w:val="single" w:sz="4" w:space="0" w:color="auto"/>
            </w:tcBorders>
          </w:tcPr>
          <w:p w14:paraId="4269A69E" w14:textId="77777777" w:rsidR="00C268FB" w:rsidRDefault="00C268FB" w:rsidP="00A550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056" w:type="dxa"/>
            <w:tcBorders>
              <w:top w:val="single" w:sz="4" w:space="0" w:color="auto"/>
            </w:tcBorders>
          </w:tcPr>
          <w:p w14:paraId="6A29C221" w14:textId="77777777" w:rsidR="00C268FB" w:rsidRDefault="00C268FB" w:rsidP="00A550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101" w:type="dxa"/>
            <w:tcBorders>
              <w:top w:val="single" w:sz="4" w:space="0" w:color="auto"/>
            </w:tcBorders>
          </w:tcPr>
          <w:p w14:paraId="5F0957CF" w14:textId="77777777" w:rsidR="00C268FB" w:rsidRDefault="00C268FB" w:rsidP="00A550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259" w:type="dxa"/>
            <w:tcBorders>
              <w:top w:val="single" w:sz="4" w:space="0" w:color="auto"/>
            </w:tcBorders>
          </w:tcPr>
          <w:p w14:paraId="047A88A7" w14:textId="77777777" w:rsidR="00C268FB" w:rsidRDefault="00C268FB" w:rsidP="00A550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055" w:type="dxa"/>
            <w:gridSpan w:val="2"/>
            <w:tcBorders>
              <w:top w:val="single" w:sz="4" w:space="0" w:color="auto"/>
            </w:tcBorders>
          </w:tcPr>
          <w:p w14:paraId="6BD92A15" w14:textId="77777777" w:rsidR="00C268FB" w:rsidRDefault="00C268FB" w:rsidP="00A550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2A49B8" w14:paraId="6A1D1B0E" w14:textId="77777777" w:rsidTr="0087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7" w:type="dxa"/>
          </w:tcPr>
          <w:p w14:paraId="2D488556" w14:textId="77777777" w:rsidR="00C268FB" w:rsidRPr="00F27009" w:rsidRDefault="00C268FB" w:rsidP="00A55035">
            <w:pPr>
              <w:jc w:val="left"/>
              <w:rPr>
                <w:rFonts w:ascii="Times New Roman" w:hAnsi="Times New Roman" w:cs="Times New Roman"/>
                <w:b/>
                <w:bCs/>
                <w:sz w:val="22"/>
                <w:szCs w:val="22"/>
              </w:rPr>
            </w:pPr>
            <w:r w:rsidRPr="00F27009">
              <w:rPr>
                <w:rFonts w:ascii="Times New Roman" w:hAnsi="Times New Roman" w:cs="Times New Roman"/>
                <w:b/>
                <w:bCs/>
                <w:sz w:val="22"/>
                <w:szCs w:val="22"/>
              </w:rPr>
              <w:t>New Insurance</w:t>
            </w:r>
          </w:p>
        </w:tc>
        <w:tc>
          <w:tcPr>
            <w:tcW w:w="1039" w:type="dxa"/>
            <w:shd w:val="clear" w:color="auto" w:fill="E7E6E6" w:themeFill="background2"/>
          </w:tcPr>
          <w:p w14:paraId="523003D1"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1007.46</w:t>
            </w:r>
          </w:p>
          <w:p w14:paraId="170F3F05"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(573.00)</w:t>
            </w:r>
          </w:p>
        </w:tc>
        <w:tc>
          <w:tcPr>
            <w:tcW w:w="1123" w:type="dxa"/>
            <w:shd w:val="clear" w:color="auto" w:fill="E7E6E6" w:themeFill="background2"/>
          </w:tcPr>
          <w:p w14:paraId="3EF17157"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1084.83</w:t>
            </w:r>
          </w:p>
          <w:p w14:paraId="4F95FE3B"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(624.72)</w:t>
            </w:r>
          </w:p>
        </w:tc>
        <w:tc>
          <w:tcPr>
            <w:tcW w:w="1056" w:type="dxa"/>
            <w:shd w:val="clear" w:color="auto" w:fill="E7E6E6" w:themeFill="background2"/>
          </w:tcPr>
          <w:p w14:paraId="4846FF4A"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1062.78</w:t>
            </w:r>
          </w:p>
          <w:p w14:paraId="66BC9C43"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(615.14)</w:t>
            </w:r>
          </w:p>
        </w:tc>
        <w:tc>
          <w:tcPr>
            <w:tcW w:w="1101" w:type="dxa"/>
            <w:shd w:val="clear" w:color="auto" w:fill="E7E6E6" w:themeFill="background2"/>
          </w:tcPr>
          <w:p w14:paraId="6CC3A322"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899.91</w:t>
            </w:r>
          </w:p>
          <w:p w14:paraId="285645AA"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(610.4)</w:t>
            </w:r>
          </w:p>
        </w:tc>
        <w:tc>
          <w:tcPr>
            <w:tcW w:w="1259" w:type="dxa"/>
            <w:shd w:val="clear" w:color="auto" w:fill="E7E6E6" w:themeFill="background2"/>
          </w:tcPr>
          <w:p w14:paraId="10BB5D68"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1041.44</w:t>
            </w:r>
          </w:p>
          <w:p w14:paraId="7EFB1FAA"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(704.44)</w:t>
            </w:r>
          </w:p>
        </w:tc>
        <w:tc>
          <w:tcPr>
            <w:tcW w:w="1055" w:type="dxa"/>
            <w:gridSpan w:val="2"/>
            <w:shd w:val="clear" w:color="auto" w:fill="E7E6E6" w:themeFill="background2"/>
          </w:tcPr>
          <w:p w14:paraId="02FAC881"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944.55</w:t>
            </w:r>
          </w:p>
          <w:p w14:paraId="69EAA732" w14:textId="77777777" w:rsidR="00C268FB" w:rsidRPr="002A49B8" w:rsidRDefault="00C268FB"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(624.02)</w:t>
            </w:r>
          </w:p>
        </w:tc>
      </w:tr>
      <w:tr w:rsidR="002A49B8" w14:paraId="4ADEC0E1" w14:textId="77777777" w:rsidTr="00871C2C">
        <w:tc>
          <w:tcPr>
            <w:cnfStyle w:val="001000000000" w:firstRow="0" w:lastRow="0" w:firstColumn="1" w:lastColumn="0" w:oddVBand="0" w:evenVBand="0" w:oddHBand="0" w:evenHBand="0" w:firstRowFirstColumn="0" w:firstRowLastColumn="0" w:lastRowFirstColumn="0" w:lastRowLastColumn="0"/>
            <w:tcW w:w="2997" w:type="dxa"/>
          </w:tcPr>
          <w:p w14:paraId="620D638F" w14:textId="77777777" w:rsidR="002A49B8" w:rsidRPr="00F27009" w:rsidRDefault="002A49B8" w:rsidP="002A49B8">
            <w:pPr>
              <w:rPr>
                <w:rFonts w:ascii="Times New Roman" w:hAnsi="Times New Roman" w:cs="Times New Roman"/>
                <w:b/>
                <w:bCs/>
                <w:sz w:val="22"/>
                <w:szCs w:val="22"/>
              </w:rPr>
            </w:pPr>
          </w:p>
        </w:tc>
        <w:tc>
          <w:tcPr>
            <w:tcW w:w="1039" w:type="dxa"/>
            <w:tcBorders>
              <w:top w:val="nil"/>
              <w:left w:val="nil"/>
              <w:bottom w:val="nil"/>
              <w:right w:val="nil"/>
            </w:tcBorders>
            <w:shd w:val="clear" w:color="auto" w:fill="auto"/>
            <w:vAlign w:val="bottom"/>
          </w:tcPr>
          <w:p w14:paraId="36B15964"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p>
        </w:tc>
        <w:tc>
          <w:tcPr>
            <w:tcW w:w="1123" w:type="dxa"/>
            <w:tcBorders>
              <w:top w:val="nil"/>
              <w:left w:val="nil"/>
              <w:bottom w:val="nil"/>
              <w:right w:val="nil"/>
            </w:tcBorders>
            <w:shd w:val="clear" w:color="auto" w:fill="auto"/>
            <w:vAlign w:val="bottom"/>
          </w:tcPr>
          <w:p w14:paraId="4CBF0F25"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p>
        </w:tc>
        <w:tc>
          <w:tcPr>
            <w:tcW w:w="1056" w:type="dxa"/>
            <w:tcBorders>
              <w:top w:val="nil"/>
              <w:left w:val="nil"/>
              <w:bottom w:val="nil"/>
              <w:right w:val="nil"/>
            </w:tcBorders>
            <w:shd w:val="clear" w:color="auto" w:fill="auto"/>
            <w:vAlign w:val="bottom"/>
          </w:tcPr>
          <w:p w14:paraId="58B4D2A9"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p>
        </w:tc>
        <w:tc>
          <w:tcPr>
            <w:tcW w:w="1101" w:type="dxa"/>
            <w:tcBorders>
              <w:top w:val="nil"/>
              <w:left w:val="nil"/>
              <w:bottom w:val="nil"/>
              <w:right w:val="nil"/>
            </w:tcBorders>
            <w:shd w:val="clear" w:color="auto" w:fill="auto"/>
            <w:vAlign w:val="bottom"/>
          </w:tcPr>
          <w:p w14:paraId="2C027D87"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p>
        </w:tc>
        <w:tc>
          <w:tcPr>
            <w:tcW w:w="1259" w:type="dxa"/>
            <w:tcBorders>
              <w:top w:val="nil"/>
              <w:left w:val="nil"/>
              <w:bottom w:val="nil"/>
              <w:right w:val="nil"/>
            </w:tcBorders>
            <w:shd w:val="clear" w:color="auto" w:fill="auto"/>
            <w:vAlign w:val="bottom"/>
          </w:tcPr>
          <w:p w14:paraId="76967F9A"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p>
        </w:tc>
        <w:tc>
          <w:tcPr>
            <w:tcW w:w="1055" w:type="dxa"/>
            <w:gridSpan w:val="2"/>
            <w:tcBorders>
              <w:top w:val="nil"/>
              <w:left w:val="nil"/>
              <w:bottom w:val="nil"/>
              <w:right w:val="nil"/>
            </w:tcBorders>
            <w:shd w:val="clear" w:color="auto" w:fill="auto"/>
            <w:vAlign w:val="bottom"/>
          </w:tcPr>
          <w:p w14:paraId="06AA35CE"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1"/>
                <w:szCs w:val="21"/>
              </w:rPr>
            </w:pPr>
          </w:p>
        </w:tc>
      </w:tr>
      <w:tr w:rsidR="002A49B8" w14:paraId="27DA4775" w14:textId="77777777" w:rsidTr="0087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7" w:type="dxa"/>
          </w:tcPr>
          <w:p w14:paraId="79A3DC85" w14:textId="77777777" w:rsidR="002A49B8" w:rsidRPr="00F27009" w:rsidRDefault="002A49B8" w:rsidP="002A49B8">
            <w:pPr>
              <w:jc w:val="left"/>
              <w:rPr>
                <w:rFonts w:ascii="Times New Roman" w:hAnsi="Times New Roman" w:cs="Times New Roman"/>
                <w:b/>
                <w:bCs/>
                <w:sz w:val="22"/>
                <w:szCs w:val="22"/>
              </w:rPr>
            </w:pPr>
            <w:r w:rsidRPr="00F27009">
              <w:rPr>
                <w:rFonts w:ascii="Times New Roman" w:hAnsi="Times New Roman" w:cs="Times New Roman"/>
                <w:b/>
                <w:bCs/>
                <w:sz w:val="22"/>
                <w:szCs w:val="22"/>
              </w:rPr>
              <w:t>Renewals</w:t>
            </w:r>
          </w:p>
        </w:tc>
        <w:tc>
          <w:tcPr>
            <w:tcW w:w="1039" w:type="dxa"/>
            <w:tcBorders>
              <w:top w:val="nil"/>
              <w:left w:val="nil"/>
              <w:bottom w:val="nil"/>
              <w:right w:val="nil"/>
            </w:tcBorders>
            <w:shd w:val="clear" w:color="auto" w:fill="E7E6E6" w:themeFill="background2"/>
            <w:vAlign w:val="bottom"/>
          </w:tcPr>
          <w:p w14:paraId="09A1B1D8" w14:textId="77777777"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2A49B8">
              <w:rPr>
                <w:rFonts w:ascii="Times New Roman" w:hAnsi="Times New Roman" w:cs="Times New Roman"/>
                <w:color w:val="000000"/>
                <w:sz w:val="21"/>
                <w:szCs w:val="21"/>
              </w:rPr>
              <w:t>7650.70</w:t>
            </w:r>
          </w:p>
          <w:p w14:paraId="1E4FE4DC" w14:textId="1D0F35AF"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(3652.53)</w:t>
            </w:r>
          </w:p>
        </w:tc>
        <w:tc>
          <w:tcPr>
            <w:tcW w:w="1123" w:type="dxa"/>
            <w:tcBorders>
              <w:top w:val="nil"/>
              <w:left w:val="nil"/>
              <w:bottom w:val="nil"/>
              <w:right w:val="nil"/>
            </w:tcBorders>
            <w:shd w:val="clear" w:color="auto" w:fill="E7E6E6" w:themeFill="background2"/>
            <w:vAlign w:val="bottom"/>
          </w:tcPr>
          <w:p w14:paraId="36487408" w14:textId="77777777"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2A49B8">
              <w:rPr>
                <w:rFonts w:ascii="Times New Roman" w:hAnsi="Times New Roman" w:cs="Times New Roman"/>
                <w:color w:val="000000"/>
                <w:sz w:val="21"/>
                <w:szCs w:val="21"/>
              </w:rPr>
              <w:t>7690.30</w:t>
            </w:r>
          </w:p>
          <w:p w14:paraId="7A0BA037" w14:textId="2FBDB099"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(3684.92)</w:t>
            </w:r>
          </w:p>
        </w:tc>
        <w:tc>
          <w:tcPr>
            <w:tcW w:w="1056" w:type="dxa"/>
            <w:tcBorders>
              <w:top w:val="nil"/>
              <w:left w:val="nil"/>
              <w:bottom w:val="nil"/>
              <w:right w:val="nil"/>
            </w:tcBorders>
            <w:shd w:val="clear" w:color="auto" w:fill="E7E6E6" w:themeFill="background2"/>
            <w:vAlign w:val="bottom"/>
          </w:tcPr>
          <w:p w14:paraId="2ACFC0E0" w14:textId="77777777"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2A49B8">
              <w:rPr>
                <w:rFonts w:ascii="Times New Roman" w:hAnsi="Times New Roman" w:cs="Times New Roman"/>
                <w:color w:val="000000"/>
                <w:sz w:val="21"/>
                <w:szCs w:val="21"/>
              </w:rPr>
              <w:t>7750.18</w:t>
            </w:r>
          </w:p>
          <w:p w14:paraId="2B0E4515" w14:textId="15A63AA7"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(3718.09)</w:t>
            </w:r>
          </w:p>
        </w:tc>
        <w:tc>
          <w:tcPr>
            <w:tcW w:w="1101" w:type="dxa"/>
            <w:tcBorders>
              <w:top w:val="nil"/>
              <w:left w:val="nil"/>
              <w:bottom w:val="nil"/>
              <w:right w:val="nil"/>
            </w:tcBorders>
            <w:shd w:val="clear" w:color="auto" w:fill="E7E6E6" w:themeFill="background2"/>
            <w:vAlign w:val="bottom"/>
          </w:tcPr>
          <w:p w14:paraId="19535574" w14:textId="77777777"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2A49B8">
              <w:rPr>
                <w:rFonts w:ascii="Times New Roman" w:hAnsi="Times New Roman" w:cs="Times New Roman"/>
                <w:color w:val="000000"/>
                <w:sz w:val="21"/>
                <w:szCs w:val="21"/>
              </w:rPr>
              <w:t>6619.10</w:t>
            </w:r>
          </w:p>
          <w:p w14:paraId="5D7D0E12" w14:textId="54A69E7B"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(4109.76)</w:t>
            </w:r>
          </w:p>
        </w:tc>
        <w:tc>
          <w:tcPr>
            <w:tcW w:w="1259" w:type="dxa"/>
            <w:tcBorders>
              <w:top w:val="nil"/>
              <w:left w:val="nil"/>
              <w:bottom w:val="nil"/>
              <w:right w:val="nil"/>
            </w:tcBorders>
            <w:shd w:val="clear" w:color="auto" w:fill="E7E6E6" w:themeFill="background2"/>
            <w:vAlign w:val="bottom"/>
          </w:tcPr>
          <w:p w14:paraId="409B0ED8" w14:textId="77777777"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2A49B8">
              <w:rPr>
                <w:rFonts w:ascii="Times New Roman" w:hAnsi="Times New Roman" w:cs="Times New Roman"/>
                <w:color w:val="000000"/>
                <w:sz w:val="21"/>
                <w:szCs w:val="21"/>
              </w:rPr>
              <w:t>6590.25</w:t>
            </w:r>
          </w:p>
          <w:p w14:paraId="2191A168" w14:textId="7310EF33"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(4127.19)</w:t>
            </w:r>
          </w:p>
        </w:tc>
        <w:tc>
          <w:tcPr>
            <w:tcW w:w="1055" w:type="dxa"/>
            <w:gridSpan w:val="2"/>
            <w:tcBorders>
              <w:top w:val="nil"/>
              <w:left w:val="nil"/>
              <w:bottom w:val="nil"/>
              <w:right w:val="nil"/>
            </w:tcBorders>
            <w:shd w:val="clear" w:color="auto" w:fill="E7E6E6" w:themeFill="background2"/>
            <w:vAlign w:val="bottom"/>
          </w:tcPr>
          <w:p w14:paraId="56E6F2FD" w14:textId="77777777"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2A49B8">
              <w:rPr>
                <w:rFonts w:ascii="Times New Roman" w:hAnsi="Times New Roman" w:cs="Times New Roman"/>
                <w:color w:val="000000"/>
                <w:sz w:val="21"/>
                <w:szCs w:val="21"/>
              </w:rPr>
              <w:t>6722.80</w:t>
            </w:r>
          </w:p>
          <w:p w14:paraId="6AE9D697" w14:textId="6D841F30" w:rsidR="002A49B8" w:rsidRPr="002A49B8" w:rsidRDefault="002A49B8" w:rsidP="002A49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2A49B8">
              <w:rPr>
                <w:rFonts w:ascii="Times New Roman" w:hAnsi="Times New Roman" w:cs="Times New Roman"/>
                <w:sz w:val="21"/>
                <w:szCs w:val="21"/>
              </w:rPr>
              <w:t>(4163.37)</w:t>
            </w:r>
          </w:p>
        </w:tc>
      </w:tr>
      <w:tr w:rsidR="002A49B8" w14:paraId="2DD9F67A" w14:textId="77777777" w:rsidTr="00871C2C">
        <w:tc>
          <w:tcPr>
            <w:cnfStyle w:val="001000000000" w:firstRow="0" w:lastRow="0" w:firstColumn="1" w:lastColumn="0" w:oddVBand="0" w:evenVBand="0" w:oddHBand="0" w:evenHBand="0" w:firstRowFirstColumn="0" w:firstRowLastColumn="0" w:lastRowFirstColumn="0" w:lastRowLastColumn="0"/>
            <w:tcW w:w="2997" w:type="dxa"/>
          </w:tcPr>
          <w:p w14:paraId="44045779" w14:textId="77777777" w:rsidR="002A49B8" w:rsidRPr="00F27009" w:rsidRDefault="002A49B8" w:rsidP="002A49B8">
            <w:pPr>
              <w:rPr>
                <w:rFonts w:ascii="Times New Roman" w:hAnsi="Times New Roman" w:cs="Times New Roman"/>
                <w:b/>
                <w:bCs/>
                <w:sz w:val="22"/>
                <w:szCs w:val="22"/>
              </w:rPr>
            </w:pPr>
          </w:p>
        </w:tc>
        <w:tc>
          <w:tcPr>
            <w:tcW w:w="1039" w:type="dxa"/>
          </w:tcPr>
          <w:p w14:paraId="759C85C9"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123" w:type="dxa"/>
          </w:tcPr>
          <w:p w14:paraId="10C55F24"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056" w:type="dxa"/>
          </w:tcPr>
          <w:p w14:paraId="7EDFA9F0"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101" w:type="dxa"/>
          </w:tcPr>
          <w:p w14:paraId="65874F6D"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259" w:type="dxa"/>
          </w:tcPr>
          <w:p w14:paraId="12FEF060"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055" w:type="dxa"/>
            <w:gridSpan w:val="2"/>
          </w:tcPr>
          <w:p w14:paraId="59585C4E" w14:textId="77777777" w:rsidR="002A49B8" w:rsidRPr="002A49B8" w:rsidRDefault="002A49B8"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r>
      <w:tr w:rsidR="00871C2C" w:rsidRPr="00871C2C" w14:paraId="217D728B" w14:textId="77777777" w:rsidTr="0087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7" w:type="dxa"/>
          </w:tcPr>
          <w:p w14:paraId="7BF41CDB" w14:textId="2D7C16F9" w:rsidR="00871C2C" w:rsidRPr="00F27009" w:rsidRDefault="00871C2C" w:rsidP="00871C2C">
            <w:pPr>
              <w:jc w:val="left"/>
              <w:rPr>
                <w:rFonts w:ascii="Times New Roman" w:hAnsi="Times New Roman" w:cs="Times New Roman"/>
                <w:b/>
                <w:bCs/>
                <w:sz w:val="22"/>
                <w:szCs w:val="22"/>
              </w:rPr>
            </w:pPr>
            <w:r w:rsidRPr="00F27009">
              <w:rPr>
                <w:rFonts w:ascii="Times New Roman" w:hAnsi="Times New Roman" w:cs="Times New Roman"/>
                <w:b/>
                <w:bCs/>
                <w:sz w:val="22"/>
                <w:szCs w:val="22"/>
              </w:rPr>
              <w:lastRenderedPageBreak/>
              <w:t xml:space="preserve">Insured-initiated </w:t>
            </w:r>
            <w:r>
              <w:rPr>
                <w:rFonts w:ascii="Times New Roman" w:hAnsi="Times New Roman" w:cs="Times New Roman"/>
                <w:b/>
                <w:bCs/>
                <w:sz w:val="22"/>
                <w:szCs w:val="22"/>
              </w:rPr>
              <w:t>n</w:t>
            </w:r>
            <w:r w:rsidRPr="00F27009">
              <w:rPr>
                <w:rFonts w:ascii="Times New Roman" w:hAnsi="Times New Roman" w:cs="Times New Roman"/>
                <w:b/>
                <w:bCs/>
                <w:sz w:val="22"/>
                <w:szCs w:val="22"/>
              </w:rPr>
              <w:t>on-renew</w:t>
            </w:r>
            <w:r>
              <w:rPr>
                <w:rFonts w:ascii="Times New Roman" w:hAnsi="Times New Roman" w:cs="Times New Roman"/>
                <w:b/>
                <w:bCs/>
                <w:sz w:val="22"/>
                <w:szCs w:val="22"/>
              </w:rPr>
              <w:t>als</w:t>
            </w:r>
            <w:r w:rsidRPr="00F27009">
              <w:rPr>
                <w:rFonts w:ascii="Times New Roman" w:hAnsi="Times New Roman" w:cs="Times New Roman"/>
                <w:b/>
                <w:bCs/>
                <w:sz w:val="22"/>
                <w:szCs w:val="22"/>
              </w:rPr>
              <w:t xml:space="preserve"> </w:t>
            </w:r>
          </w:p>
        </w:tc>
        <w:tc>
          <w:tcPr>
            <w:tcW w:w="1039" w:type="dxa"/>
            <w:tcBorders>
              <w:top w:val="nil"/>
              <w:left w:val="nil"/>
              <w:bottom w:val="nil"/>
              <w:right w:val="nil"/>
            </w:tcBorders>
            <w:shd w:val="clear" w:color="auto" w:fill="E7E6E6" w:themeFill="background2"/>
            <w:vAlign w:val="bottom"/>
          </w:tcPr>
          <w:p w14:paraId="3639F9F8"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773.88</w:t>
            </w:r>
          </w:p>
          <w:p w14:paraId="5F03F717" w14:textId="0219D7B1"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(442.53)</w:t>
            </w:r>
          </w:p>
        </w:tc>
        <w:tc>
          <w:tcPr>
            <w:tcW w:w="1123" w:type="dxa"/>
            <w:tcBorders>
              <w:top w:val="nil"/>
              <w:left w:val="nil"/>
              <w:bottom w:val="nil"/>
              <w:right w:val="nil"/>
            </w:tcBorders>
            <w:shd w:val="clear" w:color="auto" w:fill="E7E6E6" w:themeFill="background2"/>
            <w:vAlign w:val="bottom"/>
          </w:tcPr>
          <w:p w14:paraId="31BF3AC5"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805.92</w:t>
            </w:r>
          </w:p>
          <w:p w14:paraId="362B1F06" w14:textId="12F0B5C8"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(448.25)</w:t>
            </w:r>
          </w:p>
        </w:tc>
        <w:tc>
          <w:tcPr>
            <w:tcW w:w="1056" w:type="dxa"/>
            <w:tcBorders>
              <w:top w:val="nil"/>
              <w:left w:val="nil"/>
              <w:bottom w:val="nil"/>
              <w:right w:val="nil"/>
            </w:tcBorders>
            <w:shd w:val="clear" w:color="auto" w:fill="E7E6E6" w:themeFill="background2"/>
            <w:vAlign w:val="bottom"/>
          </w:tcPr>
          <w:p w14:paraId="4258A514"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820.03</w:t>
            </w:r>
          </w:p>
          <w:p w14:paraId="2F51F1B6" w14:textId="7A90A274"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(469.73)</w:t>
            </w:r>
          </w:p>
        </w:tc>
        <w:tc>
          <w:tcPr>
            <w:tcW w:w="1101" w:type="dxa"/>
            <w:tcBorders>
              <w:top w:val="nil"/>
              <w:left w:val="nil"/>
              <w:bottom w:val="nil"/>
              <w:right w:val="nil"/>
            </w:tcBorders>
            <w:shd w:val="clear" w:color="auto" w:fill="E7E6E6" w:themeFill="background2"/>
            <w:vAlign w:val="bottom"/>
          </w:tcPr>
          <w:p w14:paraId="70A0E663"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677.75</w:t>
            </w:r>
          </w:p>
          <w:p w14:paraId="75B2A65C" w14:textId="1029B4F8"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(456.23)</w:t>
            </w:r>
          </w:p>
        </w:tc>
        <w:tc>
          <w:tcPr>
            <w:tcW w:w="1259" w:type="dxa"/>
            <w:tcBorders>
              <w:top w:val="nil"/>
              <w:left w:val="nil"/>
              <w:bottom w:val="nil"/>
              <w:right w:val="nil"/>
            </w:tcBorders>
            <w:shd w:val="clear" w:color="auto" w:fill="E7E6E6" w:themeFill="background2"/>
            <w:vAlign w:val="bottom"/>
          </w:tcPr>
          <w:p w14:paraId="68F10D89"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707.04</w:t>
            </w:r>
          </w:p>
          <w:p w14:paraId="61A5100E" w14:textId="41A141ED"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(472.73)</w:t>
            </w:r>
          </w:p>
        </w:tc>
        <w:tc>
          <w:tcPr>
            <w:tcW w:w="1055" w:type="dxa"/>
            <w:gridSpan w:val="2"/>
            <w:tcBorders>
              <w:top w:val="nil"/>
              <w:left w:val="nil"/>
              <w:bottom w:val="nil"/>
              <w:right w:val="nil"/>
            </w:tcBorders>
            <w:shd w:val="clear" w:color="auto" w:fill="E7E6E6" w:themeFill="background2"/>
            <w:vAlign w:val="bottom"/>
          </w:tcPr>
          <w:p w14:paraId="7F4F01BD"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717.72</w:t>
            </w:r>
          </w:p>
          <w:p w14:paraId="1465D3DD" w14:textId="45C273AE"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(470.15)</w:t>
            </w:r>
          </w:p>
        </w:tc>
      </w:tr>
      <w:tr w:rsidR="00871C2C" w14:paraId="17EDBBAC" w14:textId="77777777" w:rsidTr="00871C2C">
        <w:tc>
          <w:tcPr>
            <w:cnfStyle w:val="001000000000" w:firstRow="0" w:lastRow="0" w:firstColumn="1" w:lastColumn="0" w:oddVBand="0" w:evenVBand="0" w:oddHBand="0" w:evenHBand="0" w:firstRowFirstColumn="0" w:firstRowLastColumn="0" w:lastRowFirstColumn="0" w:lastRowLastColumn="0"/>
            <w:tcW w:w="2997" w:type="dxa"/>
          </w:tcPr>
          <w:p w14:paraId="15ED25EB" w14:textId="77777777" w:rsidR="00871C2C" w:rsidRPr="00F27009" w:rsidRDefault="00871C2C" w:rsidP="00871C2C">
            <w:pPr>
              <w:rPr>
                <w:rFonts w:ascii="Times New Roman" w:hAnsi="Times New Roman" w:cs="Times New Roman"/>
                <w:b/>
                <w:bCs/>
                <w:sz w:val="22"/>
                <w:szCs w:val="22"/>
              </w:rPr>
            </w:pPr>
          </w:p>
        </w:tc>
        <w:tc>
          <w:tcPr>
            <w:tcW w:w="1039" w:type="dxa"/>
          </w:tcPr>
          <w:p w14:paraId="45D4728D" w14:textId="77777777" w:rsidR="00871C2C" w:rsidRPr="002A49B8" w:rsidRDefault="00871C2C" w:rsidP="00871C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123" w:type="dxa"/>
          </w:tcPr>
          <w:p w14:paraId="023B5E52" w14:textId="77777777" w:rsidR="00871C2C" w:rsidRPr="002A49B8" w:rsidRDefault="00871C2C" w:rsidP="00871C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056" w:type="dxa"/>
          </w:tcPr>
          <w:p w14:paraId="3A9E3420" w14:textId="77777777" w:rsidR="00871C2C" w:rsidRPr="002A49B8" w:rsidRDefault="00871C2C" w:rsidP="00871C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101" w:type="dxa"/>
          </w:tcPr>
          <w:p w14:paraId="62427C47" w14:textId="77777777" w:rsidR="00871C2C" w:rsidRPr="002A49B8" w:rsidRDefault="00871C2C" w:rsidP="00871C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259" w:type="dxa"/>
          </w:tcPr>
          <w:p w14:paraId="2BA699AB" w14:textId="77777777" w:rsidR="00871C2C" w:rsidRPr="002A49B8" w:rsidRDefault="00871C2C" w:rsidP="00871C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055" w:type="dxa"/>
            <w:gridSpan w:val="2"/>
          </w:tcPr>
          <w:p w14:paraId="316201D9" w14:textId="77777777" w:rsidR="00871C2C" w:rsidRPr="002A49B8" w:rsidRDefault="00871C2C" w:rsidP="00871C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r>
      <w:tr w:rsidR="00871C2C" w14:paraId="15259537" w14:textId="77777777" w:rsidTr="00871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7" w:type="dxa"/>
          </w:tcPr>
          <w:p w14:paraId="64A00D3E" w14:textId="0C8A06F5" w:rsidR="00871C2C" w:rsidRPr="00F27009" w:rsidRDefault="00871C2C" w:rsidP="00871C2C">
            <w:pPr>
              <w:jc w:val="left"/>
              <w:rPr>
                <w:rFonts w:ascii="Times New Roman" w:hAnsi="Times New Roman" w:cs="Times New Roman"/>
                <w:b/>
                <w:bCs/>
                <w:sz w:val="22"/>
                <w:szCs w:val="22"/>
              </w:rPr>
            </w:pPr>
            <w:r w:rsidRPr="00F27009">
              <w:rPr>
                <w:rFonts w:ascii="Times New Roman" w:hAnsi="Times New Roman" w:cs="Times New Roman"/>
                <w:b/>
                <w:bCs/>
                <w:sz w:val="22"/>
                <w:szCs w:val="22"/>
              </w:rPr>
              <w:t xml:space="preserve">Insurer-initiated </w:t>
            </w:r>
            <w:r>
              <w:rPr>
                <w:rFonts w:ascii="Times New Roman" w:hAnsi="Times New Roman" w:cs="Times New Roman"/>
                <w:b/>
                <w:bCs/>
                <w:sz w:val="22"/>
                <w:szCs w:val="22"/>
              </w:rPr>
              <w:t>n</w:t>
            </w:r>
            <w:r w:rsidRPr="00F27009">
              <w:rPr>
                <w:rFonts w:ascii="Times New Roman" w:hAnsi="Times New Roman" w:cs="Times New Roman"/>
                <w:b/>
                <w:bCs/>
                <w:sz w:val="22"/>
                <w:szCs w:val="22"/>
              </w:rPr>
              <w:t>on-rene</w:t>
            </w:r>
            <w:r>
              <w:rPr>
                <w:rFonts w:ascii="Times New Roman" w:hAnsi="Times New Roman" w:cs="Times New Roman"/>
                <w:b/>
                <w:bCs/>
                <w:sz w:val="22"/>
                <w:szCs w:val="22"/>
              </w:rPr>
              <w:t>wals</w:t>
            </w:r>
          </w:p>
        </w:tc>
        <w:tc>
          <w:tcPr>
            <w:tcW w:w="1039" w:type="dxa"/>
            <w:tcBorders>
              <w:top w:val="nil"/>
              <w:left w:val="nil"/>
              <w:bottom w:val="nil"/>
              <w:right w:val="nil"/>
            </w:tcBorders>
            <w:shd w:val="clear" w:color="auto" w:fill="E7E6E6" w:themeFill="background2"/>
            <w:vAlign w:val="bottom"/>
          </w:tcPr>
          <w:p w14:paraId="65E90D50"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161.83</w:t>
            </w:r>
          </w:p>
          <w:p w14:paraId="6B29000D" w14:textId="3D823872"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(89.62)</w:t>
            </w:r>
          </w:p>
        </w:tc>
        <w:tc>
          <w:tcPr>
            <w:tcW w:w="1123" w:type="dxa"/>
            <w:tcBorders>
              <w:top w:val="nil"/>
              <w:left w:val="nil"/>
              <w:bottom w:val="nil"/>
              <w:right w:val="nil"/>
            </w:tcBorders>
            <w:shd w:val="clear" w:color="auto" w:fill="E7E6E6" w:themeFill="background2"/>
            <w:vAlign w:val="bottom"/>
          </w:tcPr>
          <w:p w14:paraId="6CE8B069"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198.00</w:t>
            </w:r>
          </w:p>
          <w:p w14:paraId="1EF3EE95" w14:textId="09D2D455"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(157.16)</w:t>
            </w:r>
          </w:p>
        </w:tc>
        <w:tc>
          <w:tcPr>
            <w:tcW w:w="1056" w:type="dxa"/>
            <w:tcBorders>
              <w:top w:val="nil"/>
              <w:left w:val="nil"/>
              <w:bottom w:val="nil"/>
              <w:right w:val="nil"/>
            </w:tcBorders>
            <w:shd w:val="clear" w:color="auto" w:fill="E7E6E6" w:themeFill="background2"/>
            <w:vAlign w:val="bottom"/>
          </w:tcPr>
          <w:p w14:paraId="511B11DC"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168.25</w:t>
            </w:r>
          </w:p>
          <w:p w14:paraId="0F148759" w14:textId="46F847B8"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(110.87)</w:t>
            </w:r>
          </w:p>
        </w:tc>
        <w:tc>
          <w:tcPr>
            <w:tcW w:w="1101" w:type="dxa"/>
            <w:tcBorders>
              <w:top w:val="nil"/>
              <w:left w:val="nil"/>
              <w:bottom w:val="nil"/>
              <w:right w:val="nil"/>
            </w:tcBorders>
            <w:shd w:val="clear" w:color="auto" w:fill="E7E6E6" w:themeFill="background2"/>
            <w:vAlign w:val="bottom"/>
          </w:tcPr>
          <w:p w14:paraId="21C4A374"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163.45</w:t>
            </w:r>
          </w:p>
          <w:p w14:paraId="2199242C" w14:textId="693A5268"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(119.70)</w:t>
            </w:r>
          </w:p>
        </w:tc>
        <w:tc>
          <w:tcPr>
            <w:tcW w:w="1259" w:type="dxa"/>
            <w:tcBorders>
              <w:top w:val="nil"/>
              <w:left w:val="nil"/>
              <w:bottom w:val="nil"/>
              <w:right w:val="nil"/>
            </w:tcBorders>
            <w:shd w:val="clear" w:color="auto" w:fill="E7E6E6" w:themeFill="background2"/>
            <w:vAlign w:val="bottom"/>
          </w:tcPr>
          <w:p w14:paraId="39B731E4"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266.96</w:t>
            </w:r>
          </w:p>
          <w:p w14:paraId="0B0D605D" w14:textId="447310C1"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(227.49)</w:t>
            </w:r>
          </w:p>
        </w:tc>
        <w:tc>
          <w:tcPr>
            <w:tcW w:w="1055" w:type="dxa"/>
            <w:gridSpan w:val="2"/>
            <w:tcBorders>
              <w:top w:val="nil"/>
              <w:left w:val="nil"/>
              <w:bottom w:val="nil"/>
              <w:right w:val="nil"/>
            </w:tcBorders>
            <w:shd w:val="clear" w:color="auto" w:fill="E7E6E6" w:themeFill="background2"/>
            <w:vAlign w:val="bottom"/>
          </w:tcPr>
          <w:p w14:paraId="11296916" w14:textId="77777777" w:rsid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1"/>
                <w:szCs w:val="21"/>
              </w:rPr>
            </w:pPr>
            <w:r w:rsidRPr="00871C2C">
              <w:rPr>
                <w:rFonts w:ascii="Times New Roman" w:hAnsi="Times New Roman" w:cs="Times New Roman"/>
                <w:color w:val="000000"/>
                <w:sz w:val="21"/>
                <w:szCs w:val="21"/>
              </w:rPr>
              <w:t>174.21</w:t>
            </w:r>
          </w:p>
          <w:p w14:paraId="1B3681FD" w14:textId="2AF79E6B" w:rsidR="00871C2C" w:rsidRPr="00871C2C" w:rsidRDefault="00871C2C" w:rsidP="00871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(130.22)</w:t>
            </w:r>
          </w:p>
        </w:tc>
      </w:tr>
    </w:tbl>
    <w:p w14:paraId="5DDA0B56" w14:textId="77777777" w:rsidR="00C268FB" w:rsidRDefault="00C268FB" w:rsidP="00C268FB">
      <w:pPr>
        <w:jc w:val="both"/>
        <w:rPr>
          <w:rFonts w:ascii="Times New Roman" w:hAnsi="Times New Roman" w:cs="Times New Roman"/>
          <w:sz w:val="22"/>
          <w:szCs w:val="22"/>
        </w:rPr>
      </w:pPr>
    </w:p>
    <w:p w14:paraId="10F1D077" w14:textId="77777777" w:rsidR="00C268FB" w:rsidRDefault="00C268FB" w:rsidP="00C268FB">
      <w:pPr>
        <w:jc w:val="both"/>
        <w:rPr>
          <w:rFonts w:ascii="Times New Roman" w:hAnsi="Times New Roman" w:cs="Times New Roman"/>
          <w:sz w:val="22"/>
          <w:szCs w:val="22"/>
        </w:rPr>
      </w:pPr>
    </w:p>
    <w:p w14:paraId="4F7851F4" w14:textId="473067F4" w:rsidR="003112D7" w:rsidRDefault="00BA2B92" w:rsidP="00DA6A0A">
      <w:pPr>
        <w:jc w:val="both"/>
        <w:rPr>
          <w:rFonts w:ascii="Times New Roman" w:hAnsi="Times New Roman" w:cs="Times New Roman"/>
          <w:sz w:val="22"/>
          <w:szCs w:val="22"/>
        </w:rPr>
      </w:pPr>
      <w:r>
        <w:rPr>
          <w:rFonts w:ascii="Times New Roman" w:hAnsi="Times New Roman" w:cs="Times New Roman"/>
          <w:sz w:val="22"/>
          <w:szCs w:val="22"/>
        </w:rPr>
        <w:t xml:space="preserve">The </w:t>
      </w:r>
      <w:r w:rsidR="002A49B8">
        <w:rPr>
          <w:rFonts w:ascii="Times New Roman" w:hAnsi="Times New Roman" w:cs="Times New Roman"/>
          <w:sz w:val="22"/>
          <w:szCs w:val="22"/>
        </w:rPr>
        <w:t xml:space="preserve">insurance </w:t>
      </w:r>
      <w:r w:rsidR="00C268FB">
        <w:rPr>
          <w:rFonts w:ascii="Times New Roman" w:hAnsi="Times New Roman" w:cs="Times New Roman"/>
          <w:sz w:val="22"/>
          <w:szCs w:val="22"/>
        </w:rPr>
        <w:t xml:space="preserve">premium </w:t>
      </w:r>
      <w:r>
        <w:rPr>
          <w:rFonts w:ascii="Times New Roman" w:hAnsi="Times New Roman" w:cs="Times New Roman"/>
          <w:sz w:val="22"/>
          <w:szCs w:val="22"/>
        </w:rPr>
        <w:t xml:space="preserve">data </w:t>
      </w:r>
      <w:r w:rsidR="00C268FB">
        <w:rPr>
          <w:rFonts w:ascii="Times New Roman" w:hAnsi="Times New Roman" w:cs="Times New Roman"/>
          <w:sz w:val="22"/>
          <w:szCs w:val="22"/>
        </w:rPr>
        <w:t xml:space="preserve">has </w:t>
      </w:r>
      <w:r>
        <w:rPr>
          <w:rFonts w:ascii="Times New Roman" w:hAnsi="Times New Roman" w:cs="Times New Roman"/>
          <w:sz w:val="22"/>
          <w:szCs w:val="22"/>
        </w:rPr>
        <w:t>multiple levels of sub-</w:t>
      </w:r>
      <w:r w:rsidR="00626C0B">
        <w:rPr>
          <w:rFonts w:ascii="Times New Roman" w:hAnsi="Times New Roman" w:cs="Times New Roman"/>
          <w:sz w:val="22"/>
          <w:szCs w:val="22"/>
        </w:rPr>
        <w:t>categories,</w:t>
      </w:r>
      <w:r>
        <w:rPr>
          <w:rFonts w:ascii="Times New Roman" w:hAnsi="Times New Roman" w:cs="Times New Roman"/>
          <w:sz w:val="22"/>
          <w:szCs w:val="22"/>
        </w:rPr>
        <w:t xml:space="preserve"> and the following list summarizes each sub-category and their dedicated </w:t>
      </w:r>
      <w:r w:rsidR="00017510">
        <w:rPr>
          <w:rFonts w:ascii="Times New Roman" w:hAnsi="Times New Roman" w:cs="Times New Roman"/>
          <w:sz w:val="22"/>
          <w:szCs w:val="22"/>
        </w:rPr>
        <w:t>6-7</w:t>
      </w:r>
      <w:r>
        <w:rPr>
          <w:rFonts w:ascii="Times New Roman" w:hAnsi="Times New Roman" w:cs="Times New Roman"/>
          <w:sz w:val="22"/>
          <w:szCs w:val="22"/>
        </w:rPr>
        <w:t xml:space="preserve"> </w:t>
      </w:r>
      <w:r w:rsidR="00017510">
        <w:rPr>
          <w:rFonts w:ascii="Times New Roman" w:hAnsi="Times New Roman" w:cs="Times New Roman"/>
          <w:sz w:val="22"/>
          <w:szCs w:val="22"/>
        </w:rPr>
        <w:t xml:space="preserve">characters encoding an </w:t>
      </w:r>
      <w:r w:rsidR="009C53A5">
        <w:rPr>
          <w:rFonts w:ascii="Times New Roman" w:hAnsi="Times New Roman" w:cs="Times New Roman"/>
          <w:sz w:val="22"/>
          <w:szCs w:val="22"/>
        </w:rPr>
        <w:t>alphabetic acronym</w:t>
      </w:r>
      <w:r>
        <w:rPr>
          <w:rFonts w:ascii="Times New Roman" w:hAnsi="Times New Roman" w:cs="Times New Roman"/>
          <w:sz w:val="22"/>
          <w:szCs w:val="22"/>
        </w:rPr>
        <w:t xml:space="preserve"> to help refer to specific insurance policy categories throughout the rest of the paper. The list is followed by a chart that shows the </w:t>
      </w:r>
      <w:r w:rsidR="00017510">
        <w:rPr>
          <w:rFonts w:ascii="Times New Roman" w:hAnsi="Times New Roman" w:cs="Times New Roman"/>
          <w:sz w:val="22"/>
          <w:szCs w:val="22"/>
        </w:rPr>
        <w:t xml:space="preserve">entire set of </w:t>
      </w:r>
    </w:p>
    <w:p w14:paraId="33D6B60F" w14:textId="77777777" w:rsidR="008F109E" w:rsidRDefault="008F109E" w:rsidP="00DA6A0A">
      <w:pPr>
        <w:jc w:val="both"/>
        <w:rPr>
          <w:rFonts w:ascii="Times New Roman" w:hAnsi="Times New Roman" w:cs="Times New Roman"/>
          <w:sz w:val="22"/>
          <w:szCs w:val="22"/>
        </w:rPr>
      </w:pPr>
    </w:p>
    <w:p w14:paraId="3A92FE4D" w14:textId="3498BAF7" w:rsidR="00624B61" w:rsidRDefault="00624B61" w:rsidP="00624B61">
      <w:pPr>
        <w:pStyle w:val="ListParagraph"/>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Hierarchy Level 1: </w:t>
      </w:r>
      <w:r w:rsidR="00BA2B92">
        <w:rPr>
          <w:rFonts w:ascii="Times New Roman" w:hAnsi="Times New Roman" w:cs="Times New Roman"/>
          <w:sz w:val="22"/>
          <w:szCs w:val="22"/>
        </w:rPr>
        <w:t xml:space="preserve">The following categories </w:t>
      </w:r>
      <w:r w:rsidR="0094191C">
        <w:rPr>
          <w:rFonts w:ascii="Times New Roman" w:hAnsi="Times New Roman" w:cs="Times New Roman"/>
          <w:sz w:val="22"/>
          <w:szCs w:val="22"/>
        </w:rPr>
        <w:t>belong to</w:t>
      </w:r>
      <w:r w:rsidR="00BA2B92">
        <w:rPr>
          <w:rFonts w:ascii="Times New Roman" w:hAnsi="Times New Roman" w:cs="Times New Roman"/>
          <w:sz w:val="22"/>
          <w:szCs w:val="22"/>
        </w:rPr>
        <w:t xml:space="preserve"> the first hierarchy level by which the data is organized. These are dwelling </w:t>
      </w:r>
      <w:r w:rsidR="0094191C">
        <w:rPr>
          <w:rFonts w:ascii="Times New Roman" w:hAnsi="Times New Roman" w:cs="Times New Roman"/>
          <w:sz w:val="22"/>
          <w:szCs w:val="22"/>
        </w:rPr>
        <w:t>-</w:t>
      </w:r>
      <w:r w:rsidR="00BA2B92">
        <w:rPr>
          <w:rFonts w:ascii="Times New Roman" w:hAnsi="Times New Roman" w:cs="Times New Roman"/>
          <w:sz w:val="22"/>
          <w:szCs w:val="22"/>
        </w:rPr>
        <w:t>based policy types.</w:t>
      </w:r>
    </w:p>
    <w:p w14:paraId="390CD4B5" w14:textId="39F557D7" w:rsidR="00624B61" w:rsidRDefault="0094191C" w:rsidP="00624B61">
      <w:pPr>
        <w:pStyle w:val="ListParagraph"/>
        <w:numPr>
          <w:ilvl w:val="1"/>
          <w:numId w:val="2"/>
        </w:numPr>
        <w:jc w:val="both"/>
        <w:rPr>
          <w:rFonts w:ascii="Times New Roman" w:hAnsi="Times New Roman" w:cs="Times New Roman"/>
          <w:sz w:val="22"/>
          <w:szCs w:val="22"/>
        </w:rPr>
      </w:pPr>
      <w:r>
        <w:rPr>
          <w:rFonts w:ascii="Times New Roman" w:hAnsi="Times New Roman" w:cs="Times New Roman"/>
          <w:sz w:val="22"/>
          <w:szCs w:val="22"/>
        </w:rPr>
        <w:t>Homeowner’s (HO)</w:t>
      </w:r>
      <w:r w:rsidR="00BA2B92">
        <w:rPr>
          <w:rFonts w:ascii="Times New Roman" w:hAnsi="Times New Roman" w:cs="Times New Roman"/>
          <w:sz w:val="22"/>
          <w:szCs w:val="22"/>
        </w:rPr>
        <w:t xml:space="preserve"> </w:t>
      </w:r>
      <w:r w:rsidRPr="0094191C">
        <w:rPr>
          <w:rFonts w:ascii="Times New Roman" w:hAnsi="Times New Roman" w:cs="Times New Roman"/>
          <w:sz w:val="22"/>
          <w:szCs w:val="22"/>
        </w:rPr>
        <w:t>type policies cover 1-4 dwelling-units in which the owner lives in one or more units (e.g., ISO HO-1, 2, 3, 5, 8, or equivalent).</w:t>
      </w:r>
    </w:p>
    <w:p w14:paraId="01F9FC79" w14:textId="72F0A008" w:rsidR="00BA2B92" w:rsidRDefault="00BA2B92" w:rsidP="00BA2B92">
      <w:pPr>
        <w:pStyle w:val="ListParagraph"/>
        <w:ind w:left="1440"/>
        <w:jc w:val="both"/>
        <w:rPr>
          <w:rFonts w:ascii="Times New Roman" w:hAnsi="Times New Roman" w:cs="Times New Roman"/>
          <w:sz w:val="22"/>
          <w:szCs w:val="22"/>
        </w:rPr>
      </w:pPr>
      <w:r>
        <w:rPr>
          <w:rFonts w:ascii="Times New Roman" w:hAnsi="Times New Roman" w:cs="Times New Roman"/>
          <w:sz w:val="22"/>
          <w:szCs w:val="22"/>
        </w:rPr>
        <w:t>Acronym</w:t>
      </w:r>
      <w:r w:rsidR="00017510">
        <w:rPr>
          <w:rFonts w:ascii="Times New Roman" w:hAnsi="Times New Roman" w:cs="Times New Roman"/>
          <w:sz w:val="22"/>
          <w:szCs w:val="22"/>
        </w:rPr>
        <w:t xml:space="preserve">: </w:t>
      </w:r>
      <w:r>
        <w:rPr>
          <w:rFonts w:ascii="Times New Roman" w:hAnsi="Times New Roman" w:cs="Times New Roman"/>
          <w:sz w:val="22"/>
          <w:szCs w:val="22"/>
        </w:rPr>
        <w:t>HO</w:t>
      </w:r>
      <w:r w:rsidR="00017510">
        <w:rPr>
          <w:rFonts w:ascii="Times New Roman" w:hAnsi="Times New Roman" w:cs="Times New Roman"/>
          <w:sz w:val="22"/>
          <w:szCs w:val="22"/>
        </w:rPr>
        <w:t>-_-_-_</w:t>
      </w:r>
    </w:p>
    <w:p w14:paraId="70427C13" w14:textId="1437B052" w:rsidR="00624B61" w:rsidRDefault="00624B61" w:rsidP="00624B61">
      <w:pPr>
        <w:pStyle w:val="ListParagraph"/>
        <w:numPr>
          <w:ilvl w:val="1"/>
          <w:numId w:val="2"/>
        </w:numPr>
        <w:jc w:val="both"/>
        <w:rPr>
          <w:rFonts w:ascii="Times New Roman" w:hAnsi="Times New Roman" w:cs="Times New Roman"/>
          <w:sz w:val="22"/>
          <w:szCs w:val="22"/>
        </w:rPr>
      </w:pPr>
      <w:r>
        <w:rPr>
          <w:rFonts w:ascii="Times New Roman" w:hAnsi="Times New Roman" w:cs="Times New Roman"/>
          <w:sz w:val="22"/>
          <w:szCs w:val="22"/>
        </w:rPr>
        <w:t>Dwelling Fire Owner</w:t>
      </w:r>
      <w:r w:rsidR="0094191C">
        <w:rPr>
          <w:rFonts w:ascii="Times New Roman" w:hAnsi="Times New Roman" w:cs="Times New Roman"/>
          <w:sz w:val="22"/>
          <w:szCs w:val="22"/>
        </w:rPr>
        <w:t xml:space="preserve">-Occupied (DO) </w:t>
      </w:r>
      <w:r w:rsidR="0094191C" w:rsidRPr="0094191C">
        <w:rPr>
          <w:rFonts w:ascii="Times New Roman" w:hAnsi="Times New Roman" w:cs="Times New Roman"/>
          <w:sz w:val="22"/>
          <w:szCs w:val="22"/>
        </w:rPr>
        <w:t>type policies cover 1-4 dwelling-units in which the owner lives in one or more units (e.g., ISO DP-1, 2, 3 or equivalent).</w:t>
      </w:r>
    </w:p>
    <w:p w14:paraId="5910C33F" w14:textId="215128E8" w:rsidR="00BA2B92" w:rsidRPr="00EE4168" w:rsidRDefault="00BA2B92" w:rsidP="00BA2B92">
      <w:pPr>
        <w:pStyle w:val="ListParagraph"/>
        <w:ind w:left="1440"/>
        <w:jc w:val="both"/>
        <w:rPr>
          <w:rFonts w:ascii="Times New Roman" w:hAnsi="Times New Roman" w:cs="Times New Roman"/>
          <w:color w:val="000000" w:themeColor="text1"/>
          <w:sz w:val="22"/>
          <w:szCs w:val="22"/>
        </w:rPr>
      </w:pPr>
      <w:r w:rsidRPr="00EE4168">
        <w:rPr>
          <w:rFonts w:ascii="Times New Roman" w:hAnsi="Times New Roman" w:cs="Times New Roman"/>
          <w:color w:val="000000" w:themeColor="text1"/>
          <w:sz w:val="22"/>
          <w:szCs w:val="22"/>
        </w:rPr>
        <w:t>Acronym: DO</w:t>
      </w:r>
      <w:r w:rsidR="00017510" w:rsidRPr="00EE4168">
        <w:rPr>
          <w:rFonts w:ascii="Times New Roman" w:hAnsi="Times New Roman" w:cs="Times New Roman"/>
          <w:color w:val="000000" w:themeColor="text1"/>
          <w:sz w:val="22"/>
          <w:szCs w:val="22"/>
        </w:rPr>
        <w:t>-_-_-_</w:t>
      </w:r>
    </w:p>
    <w:p w14:paraId="5EB71912" w14:textId="73946822" w:rsidR="00624B61" w:rsidRPr="00EE4168" w:rsidRDefault="00624B61" w:rsidP="00624B61">
      <w:pPr>
        <w:pStyle w:val="ListParagraph"/>
        <w:numPr>
          <w:ilvl w:val="1"/>
          <w:numId w:val="2"/>
        </w:numPr>
        <w:jc w:val="both"/>
        <w:rPr>
          <w:rFonts w:ascii="Times New Roman" w:hAnsi="Times New Roman" w:cs="Times New Roman"/>
          <w:color w:val="000000" w:themeColor="text1"/>
          <w:sz w:val="22"/>
          <w:szCs w:val="22"/>
        </w:rPr>
      </w:pPr>
      <w:r w:rsidRPr="00EE4168">
        <w:rPr>
          <w:rFonts w:ascii="Times New Roman" w:hAnsi="Times New Roman" w:cs="Times New Roman"/>
          <w:color w:val="000000" w:themeColor="text1"/>
          <w:sz w:val="22"/>
          <w:szCs w:val="22"/>
        </w:rPr>
        <w:t>Dwelling Fire Tenant</w:t>
      </w:r>
      <w:r w:rsidR="0094191C" w:rsidRPr="00EE4168">
        <w:rPr>
          <w:rFonts w:ascii="Times New Roman" w:hAnsi="Times New Roman" w:cs="Times New Roman"/>
          <w:color w:val="000000" w:themeColor="text1"/>
          <w:sz w:val="22"/>
          <w:szCs w:val="22"/>
        </w:rPr>
        <w:t>-Occupied (DT) type policies cover 1-4 dwelling-units that are rented to a tenant for a whole or part of a year (e.g., ISO DP-1, 2, 3 or equivalent).</w:t>
      </w:r>
    </w:p>
    <w:p w14:paraId="7F901289" w14:textId="591C3E4C" w:rsidR="00BA2B92" w:rsidRPr="00EE4168" w:rsidRDefault="00BA2B92" w:rsidP="00BA2B92">
      <w:pPr>
        <w:pStyle w:val="ListParagraph"/>
        <w:ind w:left="1440"/>
        <w:jc w:val="both"/>
        <w:rPr>
          <w:rFonts w:ascii="Times New Roman" w:hAnsi="Times New Roman" w:cs="Times New Roman"/>
          <w:color w:val="000000" w:themeColor="text1"/>
          <w:sz w:val="22"/>
          <w:szCs w:val="22"/>
        </w:rPr>
      </w:pPr>
      <w:r w:rsidRPr="00EE4168">
        <w:rPr>
          <w:rFonts w:ascii="Times New Roman" w:hAnsi="Times New Roman" w:cs="Times New Roman"/>
          <w:color w:val="000000" w:themeColor="text1"/>
          <w:sz w:val="22"/>
          <w:szCs w:val="22"/>
        </w:rPr>
        <w:t>Acronym: DT</w:t>
      </w:r>
      <w:r w:rsidR="00017510" w:rsidRPr="00EE4168">
        <w:rPr>
          <w:rFonts w:ascii="Times New Roman" w:hAnsi="Times New Roman" w:cs="Times New Roman"/>
          <w:color w:val="000000" w:themeColor="text1"/>
          <w:sz w:val="22"/>
          <w:szCs w:val="22"/>
        </w:rPr>
        <w:t>-_-_-_</w:t>
      </w:r>
    </w:p>
    <w:p w14:paraId="621FF7AF" w14:textId="466B1E9E" w:rsidR="00EE4168" w:rsidRPr="00EE4168" w:rsidRDefault="00EE4168" w:rsidP="00EE4168">
      <w:pPr>
        <w:pStyle w:val="ListParagraph"/>
        <w:numPr>
          <w:ilvl w:val="1"/>
          <w:numId w:val="2"/>
        </w:numPr>
        <w:spacing w:before="100" w:beforeAutospacing="1" w:after="100" w:afterAutospacing="1"/>
        <w:rPr>
          <w:rFonts w:ascii="Times New Roman" w:eastAsia="Times New Roman" w:hAnsi="Times New Roman" w:cs="Times New Roman"/>
          <w:color w:val="000000" w:themeColor="text1"/>
          <w:kern w:val="0"/>
          <w:sz w:val="22"/>
          <w:szCs w:val="22"/>
          <w14:ligatures w14:val="none"/>
        </w:rPr>
      </w:pPr>
      <w:r w:rsidRPr="00EE4168">
        <w:rPr>
          <w:rFonts w:ascii="Times New Roman" w:eastAsia="Times New Roman" w:hAnsi="Times New Roman" w:cs="Times New Roman"/>
          <w:color w:val="000000" w:themeColor="text1"/>
          <w:kern w:val="0"/>
          <w:sz w:val="22"/>
          <w:szCs w:val="22"/>
          <w14:ligatures w14:val="none"/>
        </w:rPr>
        <w:t>Renter's/Tenant's (RT) type policies, which cover the personal property of persons renting or leasing apartments, condominium-units, or dwelling-units (e.g., ISO HO-4 or equivalent).</w:t>
      </w:r>
    </w:p>
    <w:p w14:paraId="4831E3B1" w14:textId="77777777" w:rsidR="004F639A" w:rsidRDefault="004F639A" w:rsidP="00BA2B92">
      <w:pPr>
        <w:pStyle w:val="ListParagraph"/>
        <w:ind w:left="1440"/>
        <w:jc w:val="both"/>
        <w:rPr>
          <w:rFonts w:ascii="Times New Roman" w:hAnsi="Times New Roman" w:cs="Times New Roman"/>
          <w:sz w:val="22"/>
          <w:szCs w:val="22"/>
        </w:rPr>
      </w:pPr>
    </w:p>
    <w:p w14:paraId="24029668" w14:textId="54C1F419" w:rsidR="00624B61" w:rsidRDefault="00624B61" w:rsidP="00624B61">
      <w:pPr>
        <w:pStyle w:val="ListParagraph"/>
        <w:numPr>
          <w:ilvl w:val="0"/>
          <w:numId w:val="2"/>
        </w:numPr>
        <w:jc w:val="both"/>
        <w:rPr>
          <w:rFonts w:ascii="Times New Roman" w:hAnsi="Times New Roman" w:cs="Times New Roman"/>
          <w:sz w:val="22"/>
          <w:szCs w:val="22"/>
        </w:rPr>
      </w:pPr>
      <w:r>
        <w:rPr>
          <w:rFonts w:ascii="Times New Roman" w:hAnsi="Times New Roman" w:cs="Times New Roman"/>
          <w:sz w:val="22"/>
          <w:szCs w:val="22"/>
        </w:rPr>
        <w:t>Hierarchy Level 2: Each policy type from hierarchy level 1 is subdivided into the following fire catastrophe groups:</w:t>
      </w:r>
    </w:p>
    <w:p w14:paraId="2F6AC476" w14:textId="589764AE" w:rsidR="00624B61" w:rsidRDefault="00624B61" w:rsidP="00624B61">
      <w:pPr>
        <w:pStyle w:val="ListParagraph"/>
        <w:numPr>
          <w:ilvl w:val="1"/>
          <w:numId w:val="2"/>
        </w:numPr>
        <w:jc w:val="both"/>
        <w:rPr>
          <w:rFonts w:ascii="Times New Roman" w:hAnsi="Times New Roman" w:cs="Times New Roman"/>
          <w:sz w:val="22"/>
          <w:szCs w:val="22"/>
        </w:rPr>
      </w:pPr>
      <w:r>
        <w:rPr>
          <w:rFonts w:ascii="Times New Roman" w:hAnsi="Times New Roman" w:cs="Times New Roman"/>
          <w:sz w:val="22"/>
          <w:szCs w:val="22"/>
        </w:rPr>
        <w:t xml:space="preserve">Fire </w:t>
      </w:r>
      <w:r w:rsidR="00017510">
        <w:rPr>
          <w:rFonts w:ascii="Times New Roman" w:hAnsi="Times New Roman" w:cs="Times New Roman"/>
          <w:sz w:val="22"/>
          <w:szCs w:val="22"/>
        </w:rPr>
        <w:t>c</w:t>
      </w:r>
      <w:r>
        <w:rPr>
          <w:rFonts w:ascii="Times New Roman" w:hAnsi="Times New Roman" w:cs="Times New Roman"/>
          <w:sz w:val="22"/>
          <w:szCs w:val="22"/>
        </w:rPr>
        <w:t>atastrophe</w:t>
      </w:r>
      <w:r w:rsidR="004F639A">
        <w:rPr>
          <w:rFonts w:ascii="Times New Roman" w:hAnsi="Times New Roman" w:cs="Times New Roman"/>
          <w:sz w:val="22"/>
          <w:szCs w:val="22"/>
        </w:rPr>
        <w:t xml:space="preserve">: </w:t>
      </w:r>
      <w:r w:rsidR="00687DCA">
        <w:rPr>
          <w:rFonts w:ascii="Times New Roman" w:hAnsi="Times New Roman" w:cs="Times New Roman"/>
          <w:sz w:val="22"/>
          <w:szCs w:val="22"/>
        </w:rPr>
        <w:t>A</w:t>
      </w:r>
      <w:r w:rsidR="00687DCA" w:rsidRPr="00687DCA">
        <w:rPr>
          <w:rFonts w:ascii="Times New Roman" w:hAnsi="Times New Roman" w:cs="Times New Roman"/>
          <w:sz w:val="22"/>
          <w:szCs w:val="22"/>
        </w:rPr>
        <w:t>n event that causes $24 million or more in insured losses to many policyholders.</w:t>
      </w:r>
    </w:p>
    <w:p w14:paraId="63F954CF" w14:textId="2C85C603" w:rsidR="00BA2B92" w:rsidRPr="00624B61" w:rsidRDefault="00BA2B92" w:rsidP="00BA2B92">
      <w:pPr>
        <w:pStyle w:val="ListParagraph"/>
        <w:ind w:left="1440"/>
        <w:jc w:val="both"/>
        <w:rPr>
          <w:rFonts w:ascii="Times New Roman" w:hAnsi="Times New Roman" w:cs="Times New Roman"/>
          <w:sz w:val="22"/>
          <w:szCs w:val="22"/>
        </w:rPr>
      </w:pPr>
      <w:r>
        <w:rPr>
          <w:rFonts w:ascii="Times New Roman" w:hAnsi="Times New Roman" w:cs="Times New Roman"/>
          <w:sz w:val="22"/>
          <w:szCs w:val="22"/>
        </w:rPr>
        <w:t xml:space="preserve">Acronym: </w:t>
      </w:r>
      <w:r w:rsidR="00017510">
        <w:rPr>
          <w:rFonts w:ascii="Times New Roman" w:hAnsi="Times New Roman" w:cs="Times New Roman"/>
          <w:sz w:val="22"/>
          <w:szCs w:val="22"/>
        </w:rPr>
        <w:t>__-C-_-_</w:t>
      </w:r>
    </w:p>
    <w:p w14:paraId="437C5683" w14:textId="31068AE5" w:rsidR="00624B61" w:rsidRDefault="00624B61" w:rsidP="00624B61">
      <w:pPr>
        <w:pStyle w:val="ListParagraph"/>
        <w:numPr>
          <w:ilvl w:val="1"/>
          <w:numId w:val="2"/>
        </w:numPr>
        <w:jc w:val="both"/>
        <w:rPr>
          <w:rFonts w:ascii="Times New Roman" w:hAnsi="Times New Roman" w:cs="Times New Roman"/>
          <w:sz w:val="22"/>
          <w:szCs w:val="22"/>
        </w:rPr>
      </w:pPr>
      <w:r>
        <w:rPr>
          <w:rFonts w:ascii="Times New Roman" w:hAnsi="Times New Roman" w:cs="Times New Roman"/>
          <w:sz w:val="22"/>
          <w:szCs w:val="22"/>
        </w:rPr>
        <w:t xml:space="preserve">Fire </w:t>
      </w:r>
      <w:r w:rsidR="00017510">
        <w:rPr>
          <w:rFonts w:ascii="Times New Roman" w:hAnsi="Times New Roman" w:cs="Times New Roman"/>
          <w:sz w:val="22"/>
          <w:szCs w:val="22"/>
        </w:rPr>
        <w:t>non-catastrophe</w:t>
      </w:r>
      <w:r w:rsidR="00687DCA">
        <w:rPr>
          <w:rFonts w:ascii="Times New Roman" w:hAnsi="Times New Roman" w:cs="Times New Roman"/>
          <w:sz w:val="22"/>
          <w:szCs w:val="22"/>
        </w:rPr>
        <w:t xml:space="preserve">: </w:t>
      </w:r>
      <w:r w:rsidR="00687DCA" w:rsidRPr="00687DCA">
        <w:rPr>
          <w:rFonts w:ascii="Times New Roman" w:hAnsi="Times New Roman" w:cs="Times New Roman"/>
          <w:sz w:val="22"/>
          <w:szCs w:val="22"/>
        </w:rPr>
        <w:t xml:space="preserve">remaining losses not designated as Fire Catastrophe losses </w:t>
      </w:r>
      <w:r w:rsidR="00687DCA">
        <w:rPr>
          <w:rFonts w:ascii="Times New Roman" w:hAnsi="Times New Roman" w:cs="Times New Roman"/>
          <w:sz w:val="22"/>
          <w:szCs w:val="22"/>
        </w:rPr>
        <w:t xml:space="preserve">are </w:t>
      </w:r>
      <w:r w:rsidR="00687DCA" w:rsidRPr="00687DCA">
        <w:rPr>
          <w:rFonts w:ascii="Times New Roman" w:hAnsi="Times New Roman" w:cs="Times New Roman"/>
          <w:sz w:val="22"/>
          <w:szCs w:val="22"/>
        </w:rPr>
        <w:t>coded as Fire Non-Catastrophe losses.</w:t>
      </w:r>
    </w:p>
    <w:p w14:paraId="786B2383" w14:textId="38A8D966" w:rsidR="00017510" w:rsidRDefault="00017510" w:rsidP="00017510">
      <w:pPr>
        <w:pStyle w:val="ListParagraph"/>
        <w:ind w:left="1440"/>
        <w:jc w:val="both"/>
        <w:rPr>
          <w:rFonts w:ascii="Times New Roman" w:hAnsi="Times New Roman" w:cs="Times New Roman"/>
          <w:sz w:val="22"/>
          <w:szCs w:val="22"/>
        </w:rPr>
      </w:pPr>
      <w:r>
        <w:rPr>
          <w:rFonts w:ascii="Times New Roman" w:hAnsi="Times New Roman" w:cs="Times New Roman"/>
          <w:sz w:val="22"/>
          <w:szCs w:val="22"/>
        </w:rPr>
        <w:t>Acronym: __-NC-_-_</w:t>
      </w:r>
    </w:p>
    <w:p w14:paraId="3F8C2C23" w14:textId="77777777" w:rsidR="00687DCA" w:rsidRDefault="00687DCA" w:rsidP="00017510">
      <w:pPr>
        <w:pStyle w:val="ListParagraph"/>
        <w:ind w:left="1440"/>
        <w:jc w:val="both"/>
        <w:rPr>
          <w:rFonts w:ascii="Times New Roman" w:hAnsi="Times New Roman" w:cs="Times New Roman"/>
          <w:sz w:val="22"/>
          <w:szCs w:val="22"/>
        </w:rPr>
      </w:pPr>
    </w:p>
    <w:p w14:paraId="21F23607" w14:textId="3D074087" w:rsidR="00624B61" w:rsidRDefault="00624B61" w:rsidP="00624B61">
      <w:pPr>
        <w:pStyle w:val="ListParagraph"/>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Hierarchy Level 3: Each fire catastrophe group is further subdivided into </w:t>
      </w:r>
      <w:r w:rsidR="00BA2B92">
        <w:rPr>
          <w:rFonts w:ascii="Times New Roman" w:hAnsi="Times New Roman" w:cs="Times New Roman"/>
          <w:sz w:val="22"/>
          <w:szCs w:val="22"/>
        </w:rPr>
        <w:t>what type of damage is covered:</w:t>
      </w:r>
    </w:p>
    <w:p w14:paraId="630DFFEE" w14:textId="55BE6093" w:rsidR="00BA2B92" w:rsidRDefault="00BA2B92" w:rsidP="00BA2B92">
      <w:pPr>
        <w:pStyle w:val="ListParagraph"/>
        <w:numPr>
          <w:ilvl w:val="1"/>
          <w:numId w:val="2"/>
        </w:numPr>
        <w:jc w:val="both"/>
        <w:rPr>
          <w:rFonts w:ascii="Times New Roman" w:hAnsi="Times New Roman" w:cs="Times New Roman"/>
          <w:sz w:val="22"/>
          <w:szCs w:val="22"/>
        </w:rPr>
      </w:pPr>
      <w:r>
        <w:rPr>
          <w:rFonts w:ascii="Times New Roman" w:hAnsi="Times New Roman" w:cs="Times New Roman"/>
          <w:sz w:val="22"/>
          <w:szCs w:val="22"/>
        </w:rPr>
        <w:t>Coverage A</w:t>
      </w:r>
      <w:r w:rsidR="00AF71CC">
        <w:rPr>
          <w:rFonts w:ascii="Times New Roman" w:hAnsi="Times New Roman" w:cs="Times New Roman"/>
          <w:sz w:val="22"/>
          <w:szCs w:val="22"/>
        </w:rPr>
        <w:t xml:space="preserve"> </w:t>
      </w:r>
      <w:r w:rsidR="00AF71CC" w:rsidRPr="00AF71CC">
        <w:rPr>
          <w:rFonts w:ascii="Times New Roman" w:hAnsi="Times New Roman" w:cs="Times New Roman"/>
          <w:sz w:val="22"/>
          <w:szCs w:val="22"/>
        </w:rPr>
        <w:t>covers damage to the structure of the dwelling-unit, excluding any additional structure coverage (e.g., extended replacement cost coverage or other structures).</w:t>
      </w:r>
    </w:p>
    <w:p w14:paraId="5C59CB40" w14:textId="7D1C98E4" w:rsidR="00017510" w:rsidRDefault="00017510" w:rsidP="00017510">
      <w:pPr>
        <w:pStyle w:val="ListParagraph"/>
        <w:ind w:left="1440"/>
        <w:jc w:val="both"/>
        <w:rPr>
          <w:rFonts w:ascii="Times New Roman" w:hAnsi="Times New Roman" w:cs="Times New Roman"/>
          <w:sz w:val="22"/>
          <w:szCs w:val="22"/>
        </w:rPr>
      </w:pPr>
      <w:r>
        <w:rPr>
          <w:rFonts w:ascii="Times New Roman" w:hAnsi="Times New Roman" w:cs="Times New Roman"/>
          <w:sz w:val="22"/>
          <w:szCs w:val="22"/>
        </w:rPr>
        <w:t>Acronym: __-_-A-_</w:t>
      </w:r>
    </w:p>
    <w:p w14:paraId="765D788F" w14:textId="0831C910" w:rsidR="00BA2B92" w:rsidRDefault="00BA2B92" w:rsidP="00BA2B92">
      <w:pPr>
        <w:pStyle w:val="ListParagraph"/>
        <w:numPr>
          <w:ilvl w:val="1"/>
          <w:numId w:val="2"/>
        </w:numPr>
        <w:jc w:val="both"/>
        <w:rPr>
          <w:rFonts w:ascii="Times New Roman" w:hAnsi="Times New Roman" w:cs="Times New Roman"/>
          <w:sz w:val="22"/>
          <w:szCs w:val="22"/>
        </w:rPr>
      </w:pPr>
      <w:r>
        <w:rPr>
          <w:rFonts w:ascii="Times New Roman" w:hAnsi="Times New Roman" w:cs="Times New Roman"/>
          <w:sz w:val="22"/>
          <w:szCs w:val="22"/>
        </w:rPr>
        <w:t>Coverage C</w:t>
      </w:r>
      <w:r w:rsidR="00AF71CC">
        <w:rPr>
          <w:rFonts w:ascii="Times New Roman" w:hAnsi="Times New Roman" w:cs="Times New Roman"/>
          <w:sz w:val="22"/>
          <w:szCs w:val="22"/>
        </w:rPr>
        <w:t xml:space="preserve"> </w:t>
      </w:r>
      <w:r w:rsidR="00AF71CC" w:rsidRPr="00AF71CC">
        <w:rPr>
          <w:rFonts w:ascii="Times New Roman" w:hAnsi="Times New Roman" w:cs="Times New Roman"/>
          <w:sz w:val="22"/>
          <w:szCs w:val="22"/>
        </w:rPr>
        <w:t>covers damage or loss of personal property, excluding any additional contents coverage (e.g., additional coverage for specific valuables such as jewelry or furs).</w:t>
      </w:r>
    </w:p>
    <w:p w14:paraId="4F9D7557" w14:textId="0C60F55C" w:rsidR="00017510" w:rsidRDefault="00017510" w:rsidP="00017510">
      <w:pPr>
        <w:pStyle w:val="ListParagraph"/>
        <w:ind w:left="1440"/>
        <w:jc w:val="both"/>
        <w:rPr>
          <w:rFonts w:ascii="Times New Roman" w:hAnsi="Times New Roman" w:cs="Times New Roman"/>
          <w:sz w:val="22"/>
          <w:szCs w:val="22"/>
        </w:rPr>
      </w:pPr>
      <w:r>
        <w:rPr>
          <w:rFonts w:ascii="Times New Roman" w:hAnsi="Times New Roman" w:cs="Times New Roman"/>
          <w:sz w:val="22"/>
          <w:szCs w:val="22"/>
        </w:rPr>
        <w:t>Acronym: __-_-C-_</w:t>
      </w:r>
    </w:p>
    <w:p w14:paraId="3D722262" w14:textId="7CEC7C61" w:rsidR="00BA2B92" w:rsidRDefault="00BA2B92" w:rsidP="00BA2B92">
      <w:pPr>
        <w:pStyle w:val="ListParagraph"/>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Hierarchy Level 4: </w:t>
      </w:r>
      <w:r w:rsidR="00017510">
        <w:rPr>
          <w:rFonts w:ascii="Times New Roman" w:hAnsi="Times New Roman" w:cs="Times New Roman"/>
          <w:sz w:val="22"/>
          <w:szCs w:val="22"/>
        </w:rPr>
        <w:t>Each type of damage coverage category is subdivided into the ca</w:t>
      </w:r>
      <w:r w:rsidR="00055B78">
        <w:rPr>
          <w:rFonts w:ascii="Times New Roman" w:hAnsi="Times New Roman" w:cs="Times New Roman"/>
          <w:sz w:val="22"/>
          <w:szCs w:val="22"/>
        </w:rPr>
        <w:t>u</w:t>
      </w:r>
      <w:r w:rsidR="00017510">
        <w:rPr>
          <w:rFonts w:ascii="Times New Roman" w:hAnsi="Times New Roman" w:cs="Times New Roman"/>
          <w:sz w:val="22"/>
          <w:szCs w:val="22"/>
        </w:rPr>
        <w:t>se of loss:</w:t>
      </w:r>
    </w:p>
    <w:p w14:paraId="7510947D" w14:textId="24091381" w:rsidR="00017510" w:rsidRDefault="00017510" w:rsidP="00017510">
      <w:pPr>
        <w:pStyle w:val="ListParagraph"/>
        <w:numPr>
          <w:ilvl w:val="1"/>
          <w:numId w:val="2"/>
        </w:numPr>
        <w:jc w:val="both"/>
        <w:rPr>
          <w:rFonts w:ascii="Times New Roman" w:hAnsi="Times New Roman" w:cs="Times New Roman"/>
          <w:sz w:val="22"/>
          <w:szCs w:val="22"/>
        </w:rPr>
      </w:pPr>
      <w:r>
        <w:rPr>
          <w:rFonts w:ascii="Times New Roman" w:hAnsi="Times New Roman" w:cs="Times New Roman"/>
          <w:sz w:val="22"/>
          <w:szCs w:val="22"/>
        </w:rPr>
        <w:t>Fire</w:t>
      </w:r>
      <w:r w:rsidR="004845AF">
        <w:rPr>
          <w:rFonts w:ascii="Times New Roman" w:hAnsi="Times New Roman" w:cs="Times New Roman"/>
          <w:sz w:val="22"/>
          <w:szCs w:val="22"/>
        </w:rPr>
        <w:t>. Acronym: __-_-_-F</w:t>
      </w:r>
    </w:p>
    <w:p w14:paraId="6A7CAD0B" w14:textId="53EB7C47" w:rsidR="00017510" w:rsidRDefault="00017510" w:rsidP="00017510">
      <w:pPr>
        <w:pStyle w:val="ListParagraph"/>
        <w:numPr>
          <w:ilvl w:val="1"/>
          <w:numId w:val="2"/>
        </w:numPr>
        <w:jc w:val="both"/>
        <w:rPr>
          <w:rFonts w:ascii="Times New Roman" w:hAnsi="Times New Roman" w:cs="Times New Roman"/>
          <w:sz w:val="22"/>
          <w:szCs w:val="22"/>
        </w:rPr>
      </w:pPr>
      <w:r>
        <w:rPr>
          <w:rFonts w:ascii="Times New Roman" w:hAnsi="Times New Roman" w:cs="Times New Roman"/>
          <w:sz w:val="22"/>
          <w:szCs w:val="22"/>
        </w:rPr>
        <w:t>Smoke</w:t>
      </w:r>
      <w:r w:rsidR="004845AF">
        <w:rPr>
          <w:rFonts w:ascii="Times New Roman" w:hAnsi="Times New Roman" w:cs="Times New Roman"/>
          <w:sz w:val="22"/>
          <w:szCs w:val="22"/>
        </w:rPr>
        <w:t>. Acronym: __-_-_-S</w:t>
      </w:r>
    </w:p>
    <w:p w14:paraId="4F03BF93" w14:textId="77777777" w:rsidR="00682EC7" w:rsidRDefault="00682EC7" w:rsidP="00055B78">
      <w:pPr>
        <w:pStyle w:val="ListParagraph"/>
        <w:ind w:left="1440"/>
        <w:jc w:val="both"/>
        <w:rPr>
          <w:rFonts w:ascii="Times New Roman" w:hAnsi="Times New Roman" w:cs="Times New Roman"/>
          <w:sz w:val="22"/>
          <w:szCs w:val="22"/>
        </w:rPr>
      </w:pPr>
    </w:p>
    <w:p w14:paraId="3AD92F8D" w14:textId="4C74352D" w:rsidR="00687DCA" w:rsidRDefault="00055B78" w:rsidP="00624B61">
      <w:pPr>
        <w:jc w:val="both"/>
        <w:rPr>
          <w:rFonts w:ascii="Times New Roman" w:hAnsi="Times New Roman" w:cs="Times New Roman"/>
          <w:sz w:val="22"/>
          <w:szCs w:val="22"/>
        </w:rPr>
      </w:pPr>
      <w:r w:rsidRPr="00055B78">
        <w:rPr>
          <w:rFonts w:ascii="Times New Roman" w:hAnsi="Times New Roman" w:cs="Times New Roman"/>
          <w:sz w:val="22"/>
          <w:szCs w:val="22"/>
        </w:rPr>
        <w:t xml:space="preserve">Each cause type then reports the exact incurred loss </w:t>
      </w:r>
      <w:r>
        <w:rPr>
          <w:rFonts w:ascii="Times New Roman" w:hAnsi="Times New Roman" w:cs="Times New Roman"/>
          <w:sz w:val="22"/>
          <w:szCs w:val="22"/>
        </w:rPr>
        <w:t>and claim counts across policy forms and calendar years.</w:t>
      </w:r>
      <w:r w:rsidR="00687DCA">
        <w:rPr>
          <w:rFonts w:ascii="Times New Roman" w:hAnsi="Times New Roman" w:cs="Times New Roman"/>
          <w:sz w:val="22"/>
          <w:szCs w:val="22"/>
        </w:rPr>
        <w:t xml:space="preserve"> The outcomes of interest are the zip-code level total earned premium (amount of premium earned for </w:t>
      </w:r>
      <w:r w:rsidR="00687DCA">
        <w:rPr>
          <w:rFonts w:ascii="Times New Roman" w:hAnsi="Times New Roman" w:cs="Times New Roman"/>
          <w:sz w:val="22"/>
          <w:szCs w:val="22"/>
        </w:rPr>
        <w:lastRenderedPageBreak/>
        <w:t>the policy) values reported by the insurance companies for home-owner’s policies, dwelling-fire owner-occupied policies and dwelling-fire tenant occupied policies.</w:t>
      </w:r>
    </w:p>
    <w:p w14:paraId="1DD6F984" w14:textId="77777777" w:rsidR="00687DCA" w:rsidRDefault="00687DCA" w:rsidP="00624B61">
      <w:pPr>
        <w:jc w:val="both"/>
        <w:rPr>
          <w:rFonts w:ascii="Times New Roman" w:hAnsi="Times New Roman" w:cs="Times New Roman"/>
          <w:sz w:val="22"/>
          <w:szCs w:val="22"/>
        </w:rPr>
      </w:pPr>
    </w:p>
    <w:p w14:paraId="1E264CDF" w14:textId="38478F41" w:rsidR="00871C2C" w:rsidRDefault="00BA2B92" w:rsidP="00DA6A0A">
      <w:pPr>
        <w:jc w:val="both"/>
        <w:rPr>
          <w:rFonts w:ascii="Times New Roman" w:hAnsi="Times New Roman" w:cs="Times New Roman"/>
          <w:sz w:val="22"/>
          <w:szCs w:val="22"/>
        </w:rPr>
      </w:pPr>
      <w:r>
        <w:rPr>
          <w:rFonts w:ascii="Times New Roman" w:hAnsi="Times New Roman" w:cs="Times New Roman"/>
          <w:sz w:val="22"/>
          <w:szCs w:val="22"/>
        </w:rPr>
        <w:t>The full pool of data can be visualized based on the following hierarchical chart which also include subset acronyms.</w:t>
      </w:r>
    </w:p>
    <w:p w14:paraId="35B09CF0" w14:textId="54CF6E3C" w:rsidR="002A49B8" w:rsidRDefault="00624B61" w:rsidP="00DA6A0A">
      <w:pPr>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3A2F7AB2" wp14:editId="248EF183">
            <wp:extent cx="6290310" cy="3454400"/>
            <wp:effectExtent l="12700" t="0" r="8890" b="0"/>
            <wp:docPr id="51428490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044F308" w14:textId="77777777" w:rsidR="00871C2C" w:rsidRDefault="00871C2C" w:rsidP="00871C2C">
      <w:pPr>
        <w:jc w:val="both"/>
        <w:rPr>
          <w:rFonts w:ascii="Times New Roman" w:hAnsi="Times New Roman" w:cs="Times New Roman"/>
          <w:sz w:val="22"/>
          <w:szCs w:val="22"/>
        </w:rPr>
      </w:pPr>
    </w:p>
    <w:p w14:paraId="5890AF99" w14:textId="643FED4B" w:rsidR="004845AF" w:rsidRDefault="0085275C" w:rsidP="00871C2C">
      <w:pPr>
        <w:jc w:val="both"/>
        <w:rPr>
          <w:rFonts w:ascii="Times New Roman" w:hAnsi="Times New Roman" w:cs="Times New Roman"/>
          <w:sz w:val="22"/>
          <w:szCs w:val="22"/>
        </w:rPr>
      </w:pPr>
      <w:r>
        <w:rPr>
          <w:rFonts w:ascii="Times New Roman" w:hAnsi="Times New Roman" w:cs="Times New Roman"/>
          <w:sz w:val="22"/>
          <w:szCs w:val="22"/>
        </w:rPr>
        <w:t>The following table reports the</w:t>
      </w:r>
      <w:r w:rsidR="002A49B8">
        <w:rPr>
          <w:rFonts w:ascii="Times New Roman" w:hAnsi="Times New Roman" w:cs="Times New Roman"/>
          <w:sz w:val="22"/>
          <w:szCs w:val="22"/>
        </w:rPr>
        <w:t xml:space="preserve"> zip-code level</w:t>
      </w:r>
      <w:r>
        <w:rPr>
          <w:rFonts w:ascii="Times New Roman" w:hAnsi="Times New Roman" w:cs="Times New Roman"/>
          <w:sz w:val="22"/>
          <w:szCs w:val="22"/>
        </w:rPr>
        <w:t xml:space="preserve"> </w:t>
      </w:r>
      <w:r w:rsidR="002A49B8">
        <w:rPr>
          <w:rFonts w:ascii="Times New Roman" w:hAnsi="Times New Roman" w:cs="Times New Roman"/>
          <w:sz w:val="22"/>
          <w:szCs w:val="22"/>
        </w:rPr>
        <w:t>average</w:t>
      </w:r>
      <w:r>
        <w:rPr>
          <w:rFonts w:ascii="Times New Roman" w:hAnsi="Times New Roman" w:cs="Times New Roman"/>
          <w:sz w:val="22"/>
          <w:szCs w:val="22"/>
        </w:rPr>
        <w:t xml:space="preserve"> </w:t>
      </w:r>
      <w:r w:rsidR="002A49B8">
        <w:rPr>
          <w:rFonts w:ascii="Times New Roman" w:hAnsi="Times New Roman" w:cs="Times New Roman"/>
          <w:sz w:val="22"/>
          <w:szCs w:val="22"/>
        </w:rPr>
        <w:t>(with standard deviations in brackets</w:t>
      </w:r>
      <w:r w:rsidR="00A77A42">
        <w:rPr>
          <w:rFonts w:ascii="Times New Roman" w:hAnsi="Times New Roman" w:cs="Times New Roman"/>
          <w:sz w:val="22"/>
          <w:szCs w:val="22"/>
        </w:rPr>
        <w:t>,</w:t>
      </w:r>
      <w:r w:rsidR="002A49B8">
        <w:rPr>
          <w:rFonts w:ascii="Times New Roman" w:hAnsi="Times New Roman" w:cs="Times New Roman"/>
          <w:sz w:val="22"/>
          <w:szCs w:val="22"/>
        </w:rPr>
        <w:t xml:space="preserve"> of) </w:t>
      </w:r>
      <w:r>
        <w:rPr>
          <w:rFonts w:ascii="Times New Roman" w:hAnsi="Times New Roman" w:cs="Times New Roman"/>
          <w:sz w:val="22"/>
          <w:szCs w:val="22"/>
        </w:rPr>
        <w:t>earned premium, average coverage A and C amounts</w:t>
      </w:r>
      <w:r w:rsidR="0052672B">
        <w:rPr>
          <w:rFonts w:ascii="Times New Roman" w:hAnsi="Times New Roman" w:cs="Times New Roman"/>
          <w:sz w:val="22"/>
          <w:szCs w:val="22"/>
        </w:rPr>
        <w:t xml:space="preserve"> over the years and the number of treated and control zip-codes for each policy category</w:t>
      </w:r>
      <w:r w:rsidR="00A77A42">
        <w:rPr>
          <w:rFonts w:ascii="Times New Roman" w:hAnsi="Times New Roman" w:cs="Times New Roman"/>
          <w:sz w:val="22"/>
          <w:szCs w:val="22"/>
        </w:rPr>
        <w:t>.</w:t>
      </w:r>
    </w:p>
    <w:p w14:paraId="1AE34511" w14:textId="77777777" w:rsidR="003D2787" w:rsidRDefault="003D2787" w:rsidP="00871C2C">
      <w:pPr>
        <w:jc w:val="both"/>
        <w:rPr>
          <w:rFonts w:ascii="Times New Roman" w:hAnsi="Times New Roman" w:cs="Times New Roman"/>
          <w:sz w:val="22"/>
          <w:szCs w:val="22"/>
        </w:rPr>
      </w:pPr>
    </w:p>
    <w:p w14:paraId="148F7FC8" w14:textId="18BE756D" w:rsidR="0085275C" w:rsidRPr="002A49B8" w:rsidRDefault="001F1A5B" w:rsidP="00D978E3">
      <w:pPr>
        <w:jc w:val="center"/>
        <w:rPr>
          <w:rFonts w:ascii="Times New Roman" w:hAnsi="Times New Roman" w:cs="Times New Roman"/>
          <w:sz w:val="20"/>
          <w:szCs w:val="20"/>
        </w:rPr>
      </w:pPr>
      <w:r w:rsidRPr="002A49B8">
        <w:rPr>
          <w:rFonts w:ascii="Times New Roman" w:hAnsi="Times New Roman" w:cs="Times New Roman"/>
          <w:sz w:val="20"/>
          <w:szCs w:val="20"/>
        </w:rPr>
        <w:t xml:space="preserve">Table </w:t>
      </w:r>
      <w:r w:rsidR="00C268FB" w:rsidRPr="002A49B8">
        <w:rPr>
          <w:rFonts w:ascii="Times New Roman" w:hAnsi="Times New Roman" w:cs="Times New Roman"/>
          <w:sz w:val="20"/>
          <w:szCs w:val="20"/>
        </w:rPr>
        <w:t>2</w:t>
      </w:r>
      <w:r w:rsidRPr="002A49B8">
        <w:rPr>
          <w:rFonts w:ascii="Times New Roman" w:hAnsi="Times New Roman" w:cs="Times New Roman"/>
          <w:sz w:val="20"/>
          <w:szCs w:val="20"/>
        </w:rPr>
        <w:t xml:space="preserve">: </w:t>
      </w:r>
      <w:r w:rsidR="006B2130">
        <w:rPr>
          <w:rFonts w:ascii="Times New Roman" w:hAnsi="Times New Roman" w:cs="Times New Roman"/>
          <w:sz w:val="20"/>
          <w:szCs w:val="20"/>
        </w:rPr>
        <w:t xml:space="preserve">Short Panel </w:t>
      </w:r>
      <w:r w:rsidR="00691A38">
        <w:rPr>
          <w:rFonts w:ascii="Times New Roman" w:hAnsi="Times New Roman" w:cs="Times New Roman"/>
          <w:sz w:val="20"/>
          <w:szCs w:val="20"/>
        </w:rPr>
        <w:t>–</w:t>
      </w:r>
      <w:r w:rsidR="00A77A42">
        <w:rPr>
          <w:rFonts w:ascii="Times New Roman" w:hAnsi="Times New Roman" w:cs="Times New Roman"/>
          <w:sz w:val="20"/>
          <w:szCs w:val="20"/>
        </w:rPr>
        <w:t xml:space="preserve"> </w:t>
      </w:r>
      <w:r w:rsidRPr="002A49B8">
        <w:rPr>
          <w:rFonts w:ascii="Times New Roman" w:hAnsi="Times New Roman" w:cs="Times New Roman"/>
          <w:sz w:val="20"/>
          <w:szCs w:val="20"/>
        </w:rPr>
        <w:t xml:space="preserve">Summary statistics of policy outcomes by </w:t>
      </w:r>
      <w:r w:rsidR="00871C2C">
        <w:rPr>
          <w:rFonts w:ascii="Times New Roman" w:hAnsi="Times New Roman" w:cs="Times New Roman"/>
          <w:sz w:val="20"/>
          <w:szCs w:val="20"/>
        </w:rPr>
        <w:t>pre</w:t>
      </w:r>
      <w:r w:rsidR="006034D5">
        <w:rPr>
          <w:rFonts w:ascii="Times New Roman" w:hAnsi="Times New Roman" w:cs="Times New Roman"/>
          <w:sz w:val="20"/>
          <w:szCs w:val="20"/>
        </w:rPr>
        <w:t>-moratorium</w:t>
      </w:r>
      <w:r w:rsidR="00871C2C">
        <w:rPr>
          <w:rFonts w:ascii="Times New Roman" w:hAnsi="Times New Roman" w:cs="Times New Roman"/>
          <w:sz w:val="20"/>
          <w:szCs w:val="20"/>
        </w:rPr>
        <w:t xml:space="preserve"> and post-moratorium periods</w:t>
      </w:r>
    </w:p>
    <w:tbl>
      <w:tblPr>
        <w:tblStyle w:val="ListTable6Colorful"/>
        <w:tblW w:w="9720" w:type="dxa"/>
        <w:tblInd w:w="90" w:type="dxa"/>
        <w:tblLayout w:type="fixed"/>
        <w:tblLook w:val="04A0" w:firstRow="1" w:lastRow="0" w:firstColumn="1" w:lastColumn="0" w:noHBand="0" w:noVBand="1"/>
      </w:tblPr>
      <w:tblGrid>
        <w:gridCol w:w="2790"/>
        <w:gridCol w:w="1530"/>
        <w:gridCol w:w="1440"/>
        <w:gridCol w:w="1710"/>
        <w:gridCol w:w="2250"/>
      </w:tblGrid>
      <w:tr w:rsidR="0014225B" w:rsidRPr="002A49B8" w14:paraId="2BB105CE" w14:textId="77777777" w:rsidTr="006B2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16BFE9CF" w14:textId="114688B6" w:rsidR="0052672B" w:rsidRPr="002A49B8" w:rsidRDefault="004F4990" w:rsidP="006B2130">
            <w:pPr>
              <w:jc w:val="center"/>
              <w:rPr>
                <w:rFonts w:ascii="Times New Roman" w:hAnsi="Times New Roman" w:cs="Times New Roman"/>
                <w:b w:val="0"/>
                <w:bCs w:val="0"/>
                <w:sz w:val="20"/>
                <w:szCs w:val="20"/>
              </w:rPr>
            </w:pPr>
            <w:r w:rsidRPr="002A49B8">
              <w:rPr>
                <w:rFonts w:ascii="Times New Roman" w:hAnsi="Times New Roman" w:cs="Times New Roman"/>
                <w:b w:val="0"/>
                <w:bCs w:val="0"/>
                <w:sz w:val="20"/>
                <w:szCs w:val="20"/>
              </w:rPr>
              <w:t>Outcomes</w:t>
            </w:r>
          </w:p>
        </w:tc>
        <w:tc>
          <w:tcPr>
            <w:tcW w:w="1530" w:type="dxa"/>
          </w:tcPr>
          <w:p w14:paraId="5D584096" w14:textId="77777777" w:rsidR="0052672B" w:rsidRPr="002A49B8" w:rsidRDefault="0052672B" w:rsidP="00DA6A0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40" w:type="dxa"/>
            <w:vAlign w:val="center"/>
          </w:tcPr>
          <w:p w14:paraId="5B796E9B" w14:textId="2ADF8E06" w:rsidR="0052672B" w:rsidRPr="002A49B8" w:rsidRDefault="0052672B" w:rsidP="002A49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A49B8">
              <w:rPr>
                <w:rFonts w:ascii="Times New Roman" w:hAnsi="Times New Roman" w:cs="Times New Roman"/>
                <w:b w:val="0"/>
                <w:bCs w:val="0"/>
                <w:sz w:val="20"/>
                <w:szCs w:val="20"/>
              </w:rPr>
              <w:t>Homeowner’s policy</w:t>
            </w:r>
          </w:p>
        </w:tc>
        <w:tc>
          <w:tcPr>
            <w:tcW w:w="1710" w:type="dxa"/>
            <w:vAlign w:val="center"/>
          </w:tcPr>
          <w:p w14:paraId="5C952A4A" w14:textId="1737BDC9" w:rsidR="0052672B" w:rsidRPr="002A49B8" w:rsidRDefault="0052672B" w:rsidP="002A49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A49B8">
              <w:rPr>
                <w:rFonts w:ascii="Times New Roman" w:hAnsi="Times New Roman" w:cs="Times New Roman"/>
                <w:b w:val="0"/>
                <w:bCs w:val="0"/>
                <w:sz w:val="20"/>
                <w:szCs w:val="20"/>
              </w:rPr>
              <w:t>Dwelling Fire Owner-Occupied Policy</w:t>
            </w:r>
          </w:p>
        </w:tc>
        <w:tc>
          <w:tcPr>
            <w:tcW w:w="2250" w:type="dxa"/>
            <w:vAlign w:val="center"/>
          </w:tcPr>
          <w:p w14:paraId="61844DFE" w14:textId="5398D869" w:rsidR="0052672B" w:rsidRPr="002A49B8" w:rsidRDefault="0052672B" w:rsidP="002A49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A49B8">
              <w:rPr>
                <w:rFonts w:ascii="Times New Roman" w:hAnsi="Times New Roman" w:cs="Times New Roman"/>
                <w:b w:val="0"/>
                <w:bCs w:val="0"/>
                <w:sz w:val="20"/>
                <w:szCs w:val="20"/>
              </w:rPr>
              <w:t>Dwelling Fire Tenant</w:t>
            </w:r>
            <w:r w:rsidR="006034D5">
              <w:rPr>
                <w:rFonts w:ascii="Times New Roman" w:hAnsi="Times New Roman" w:cs="Times New Roman"/>
                <w:b w:val="0"/>
                <w:bCs w:val="0"/>
                <w:sz w:val="20"/>
                <w:szCs w:val="20"/>
              </w:rPr>
              <w:t>-</w:t>
            </w:r>
            <w:r w:rsidRPr="002A49B8">
              <w:rPr>
                <w:rFonts w:ascii="Times New Roman" w:hAnsi="Times New Roman" w:cs="Times New Roman"/>
                <w:b w:val="0"/>
                <w:bCs w:val="0"/>
                <w:sz w:val="20"/>
                <w:szCs w:val="20"/>
              </w:rPr>
              <w:t>Occupied Policies</w:t>
            </w:r>
          </w:p>
        </w:tc>
      </w:tr>
      <w:tr w:rsidR="0014225B" w:rsidRPr="002A49B8" w14:paraId="0CEB4693" w14:textId="77777777" w:rsidTr="006B213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790" w:type="dxa"/>
            <w:vMerge w:val="restart"/>
            <w:vAlign w:val="center"/>
          </w:tcPr>
          <w:p w14:paraId="08E9822F" w14:textId="77777777" w:rsidR="0052672B" w:rsidRPr="002A49B8" w:rsidRDefault="0052672B" w:rsidP="002A49B8">
            <w:pPr>
              <w:jc w:val="center"/>
              <w:rPr>
                <w:rFonts w:ascii="Times New Roman" w:hAnsi="Times New Roman" w:cs="Times New Roman"/>
                <w:b w:val="0"/>
                <w:bCs w:val="0"/>
                <w:sz w:val="20"/>
                <w:szCs w:val="20"/>
              </w:rPr>
            </w:pPr>
            <w:r w:rsidRPr="002A49B8">
              <w:rPr>
                <w:rFonts w:ascii="Times New Roman" w:hAnsi="Times New Roman" w:cs="Times New Roman"/>
                <w:b w:val="0"/>
                <w:bCs w:val="0"/>
                <w:sz w:val="20"/>
                <w:szCs w:val="20"/>
              </w:rPr>
              <w:t>Mean Earned Premium</w:t>
            </w:r>
          </w:p>
          <w:p w14:paraId="16B76A8C" w14:textId="7F259C34" w:rsidR="00E83FA0" w:rsidRPr="002A49B8" w:rsidRDefault="00E83FA0" w:rsidP="002A49B8">
            <w:pPr>
              <w:jc w:val="center"/>
              <w:rPr>
                <w:rFonts w:ascii="Times New Roman" w:hAnsi="Times New Roman" w:cs="Times New Roman"/>
                <w:b w:val="0"/>
                <w:bCs w:val="0"/>
                <w:sz w:val="20"/>
                <w:szCs w:val="20"/>
              </w:rPr>
            </w:pPr>
            <w:r w:rsidRPr="002A49B8">
              <w:rPr>
                <w:rFonts w:ascii="Times New Roman" w:hAnsi="Times New Roman" w:cs="Times New Roman"/>
                <w:b w:val="0"/>
                <w:bCs w:val="0"/>
                <w:sz w:val="20"/>
                <w:szCs w:val="20"/>
              </w:rPr>
              <w:t>(in $)</w:t>
            </w:r>
          </w:p>
        </w:tc>
        <w:tc>
          <w:tcPr>
            <w:tcW w:w="1530" w:type="dxa"/>
            <w:shd w:val="clear" w:color="auto" w:fill="FFFFFF" w:themeFill="background1"/>
            <w:vAlign w:val="center"/>
          </w:tcPr>
          <w:p w14:paraId="6BC27B11" w14:textId="5CDBB096" w:rsidR="0052672B" w:rsidRPr="002A49B8" w:rsidRDefault="0052672B" w:rsidP="006B21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Pre-moratorium (2018)</w:t>
            </w:r>
          </w:p>
        </w:tc>
        <w:tc>
          <w:tcPr>
            <w:tcW w:w="1440" w:type="dxa"/>
            <w:shd w:val="clear" w:color="auto" w:fill="FFFFFF" w:themeFill="background1"/>
          </w:tcPr>
          <w:p w14:paraId="4CEF2B2D" w14:textId="59C32EF0" w:rsidR="00E83FA0" w:rsidRPr="002A49B8" w:rsidRDefault="00E83FA0" w:rsidP="00E83F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2915566</w:t>
            </w:r>
          </w:p>
          <w:p w14:paraId="54D5D929" w14:textId="5D1EC1ED" w:rsidR="002A49B8" w:rsidRPr="002A49B8" w:rsidRDefault="002A49B8" w:rsidP="00E83F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E37AF0" w:rsidRPr="00E37AF0">
              <w:rPr>
                <w:rFonts w:ascii="Times New Roman" w:hAnsi="Times New Roman" w:cs="Times New Roman"/>
                <w:color w:val="000000"/>
                <w:sz w:val="20"/>
                <w:szCs w:val="20"/>
              </w:rPr>
              <w:t>2142648.9</w:t>
            </w:r>
            <w:r w:rsidR="00E37AF0">
              <w:rPr>
                <w:rFonts w:ascii="Times New Roman" w:hAnsi="Times New Roman" w:cs="Times New Roman"/>
                <w:color w:val="000000"/>
                <w:sz w:val="20"/>
                <w:szCs w:val="20"/>
              </w:rPr>
              <w:t>1</w:t>
            </w:r>
            <w:r w:rsidRPr="002A49B8">
              <w:rPr>
                <w:rFonts w:ascii="Times New Roman" w:hAnsi="Times New Roman" w:cs="Times New Roman"/>
                <w:color w:val="000000"/>
                <w:sz w:val="20"/>
                <w:szCs w:val="20"/>
              </w:rPr>
              <w:t>)</w:t>
            </w:r>
          </w:p>
          <w:p w14:paraId="157F27F2" w14:textId="5B60F8A8" w:rsidR="0052672B" w:rsidRPr="002A49B8" w:rsidRDefault="0052672B" w:rsidP="005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10" w:type="dxa"/>
            <w:shd w:val="clear" w:color="auto" w:fill="FFFFFF" w:themeFill="background1"/>
          </w:tcPr>
          <w:p w14:paraId="7AEB1294" w14:textId="77777777" w:rsidR="0052672B" w:rsidRDefault="00E83FA0" w:rsidP="005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112714</w:t>
            </w:r>
          </w:p>
          <w:p w14:paraId="70A1E8AF" w14:textId="233BDC60" w:rsidR="00E37AF0" w:rsidRDefault="00E37AF0" w:rsidP="005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E37AF0">
              <w:rPr>
                <w:rFonts w:ascii="Times New Roman" w:hAnsi="Times New Roman" w:cs="Times New Roman"/>
                <w:sz w:val="20"/>
                <w:szCs w:val="20"/>
              </w:rPr>
              <w:t>180692.74</w:t>
            </w:r>
            <w:r>
              <w:rPr>
                <w:rFonts w:ascii="Times New Roman" w:hAnsi="Times New Roman" w:cs="Times New Roman"/>
                <w:sz w:val="20"/>
                <w:szCs w:val="20"/>
              </w:rPr>
              <w:t>)</w:t>
            </w:r>
          </w:p>
          <w:p w14:paraId="4A2C3366" w14:textId="23305B2A" w:rsidR="00E37AF0" w:rsidRPr="002A49B8" w:rsidRDefault="00E37AF0" w:rsidP="005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50" w:type="dxa"/>
            <w:shd w:val="clear" w:color="auto" w:fill="FFFFFF" w:themeFill="background1"/>
          </w:tcPr>
          <w:p w14:paraId="7E2651D8" w14:textId="50B7BA4B" w:rsidR="00E83FA0" w:rsidRPr="002A49B8" w:rsidRDefault="00E83FA0" w:rsidP="00E83F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421191</w:t>
            </w:r>
          </w:p>
          <w:p w14:paraId="1CBCAAA5" w14:textId="331856F6" w:rsidR="0052672B" w:rsidRPr="002A49B8" w:rsidRDefault="00E37AF0" w:rsidP="005267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E37AF0">
              <w:rPr>
                <w:rFonts w:ascii="Times New Roman" w:hAnsi="Times New Roman" w:cs="Times New Roman"/>
                <w:sz w:val="20"/>
                <w:szCs w:val="20"/>
              </w:rPr>
              <w:t>282350.0</w:t>
            </w:r>
            <w:r>
              <w:rPr>
                <w:rFonts w:ascii="Times New Roman" w:hAnsi="Times New Roman" w:cs="Times New Roman"/>
                <w:sz w:val="20"/>
                <w:szCs w:val="20"/>
              </w:rPr>
              <w:t>4)</w:t>
            </w:r>
          </w:p>
        </w:tc>
      </w:tr>
      <w:tr w:rsidR="004415E4" w:rsidRPr="002A49B8" w14:paraId="76C75B6B" w14:textId="77777777" w:rsidTr="006B2130">
        <w:trPr>
          <w:trHeight w:val="166"/>
        </w:trPr>
        <w:tc>
          <w:tcPr>
            <w:cnfStyle w:val="001000000000" w:firstRow="0" w:lastRow="0" w:firstColumn="1" w:lastColumn="0" w:oddVBand="0" w:evenVBand="0" w:oddHBand="0" w:evenHBand="0" w:firstRowFirstColumn="0" w:firstRowLastColumn="0" w:lastRowFirstColumn="0" w:lastRowLastColumn="0"/>
            <w:tcW w:w="2790" w:type="dxa"/>
            <w:vMerge/>
            <w:vAlign w:val="center"/>
          </w:tcPr>
          <w:p w14:paraId="214224DD" w14:textId="77777777" w:rsidR="0052672B" w:rsidRPr="002A49B8" w:rsidRDefault="0052672B" w:rsidP="002A49B8">
            <w:pPr>
              <w:jc w:val="center"/>
              <w:rPr>
                <w:rFonts w:ascii="Times New Roman" w:hAnsi="Times New Roman" w:cs="Times New Roman"/>
                <w:b w:val="0"/>
                <w:bCs w:val="0"/>
                <w:sz w:val="20"/>
                <w:szCs w:val="20"/>
              </w:rPr>
            </w:pPr>
          </w:p>
        </w:tc>
        <w:tc>
          <w:tcPr>
            <w:tcW w:w="1530" w:type="dxa"/>
            <w:shd w:val="clear" w:color="auto" w:fill="FFFFFF" w:themeFill="background1"/>
            <w:vAlign w:val="center"/>
          </w:tcPr>
          <w:p w14:paraId="018CEB89" w14:textId="6109807B" w:rsidR="0052672B" w:rsidRPr="002A49B8" w:rsidRDefault="0052672B" w:rsidP="006B2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Post-moratorium</w:t>
            </w:r>
          </w:p>
        </w:tc>
        <w:tc>
          <w:tcPr>
            <w:tcW w:w="1440" w:type="dxa"/>
            <w:shd w:val="clear" w:color="auto" w:fill="FFFFFF" w:themeFill="background1"/>
          </w:tcPr>
          <w:p w14:paraId="01202ADC" w14:textId="231124B1" w:rsidR="00E83FA0" w:rsidRDefault="00E83FA0" w:rsidP="00E83F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4219930</w:t>
            </w:r>
          </w:p>
          <w:p w14:paraId="1634918E" w14:textId="293F4098" w:rsidR="0052672B" w:rsidRPr="006B2130" w:rsidRDefault="00E37AF0" w:rsidP="006B2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r w:rsidRPr="00E37AF0">
              <w:rPr>
                <w:rFonts w:ascii="Times New Roman" w:hAnsi="Times New Roman" w:cs="Times New Roman"/>
                <w:color w:val="000000"/>
                <w:sz w:val="20"/>
                <w:szCs w:val="20"/>
              </w:rPr>
              <w:t>3221996.6</w:t>
            </w:r>
            <w:r w:rsidR="006B2130">
              <w:rPr>
                <w:rFonts w:ascii="Times New Roman" w:hAnsi="Times New Roman" w:cs="Times New Roman"/>
                <w:color w:val="000000"/>
                <w:sz w:val="20"/>
                <w:szCs w:val="20"/>
              </w:rPr>
              <w:t>2</w:t>
            </w:r>
            <w:r>
              <w:rPr>
                <w:rFonts w:ascii="Times New Roman" w:hAnsi="Times New Roman" w:cs="Times New Roman"/>
                <w:color w:val="000000"/>
                <w:sz w:val="20"/>
                <w:szCs w:val="20"/>
              </w:rPr>
              <w:t>)</w:t>
            </w:r>
          </w:p>
        </w:tc>
        <w:tc>
          <w:tcPr>
            <w:tcW w:w="1710" w:type="dxa"/>
            <w:shd w:val="clear" w:color="auto" w:fill="FFFFFF" w:themeFill="background1"/>
          </w:tcPr>
          <w:p w14:paraId="5E7BE63E" w14:textId="70C900D6" w:rsidR="00E83FA0" w:rsidRPr="002A49B8" w:rsidRDefault="00E83FA0" w:rsidP="00E83F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162515</w:t>
            </w:r>
          </w:p>
          <w:p w14:paraId="79C0C38F" w14:textId="444287B8" w:rsidR="0052672B" w:rsidRPr="006B2130" w:rsidRDefault="00E37AF0" w:rsidP="006B2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r w:rsidR="006034D5" w:rsidRPr="006034D5">
              <w:rPr>
                <w:rFonts w:ascii="Times New Roman" w:hAnsi="Times New Roman" w:cs="Times New Roman"/>
                <w:color w:val="000000"/>
                <w:sz w:val="20"/>
                <w:szCs w:val="20"/>
              </w:rPr>
              <w:t>346525.6</w:t>
            </w:r>
            <w:r w:rsidR="006034D5">
              <w:rPr>
                <w:rFonts w:ascii="Times New Roman" w:hAnsi="Times New Roman" w:cs="Times New Roman"/>
                <w:color w:val="000000"/>
                <w:sz w:val="20"/>
                <w:szCs w:val="20"/>
              </w:rPr>
              <w:t>6</w:t>
            </w:r>
            <w:r>
              <w:rPr>
                <w:rFonts w:ascii="Times New Roman" w:hAnsi="Times New Roman" w:cs="Times New Roman"/>
                <w:color w:val="000000"/>
                <w:sz w:val="20"/>
                <w:szCs w:val="20"/>
              </w:rPr>
              <w:t>)</w:t>
            </w:r>
          </w:p>
        </w:tc>
        <w:tc>
          <w:tcPr>
            <w:tcW w:w="2250" w:type="dxa"/>
            <w:shd w:val="clear" w:color="auto" w:fill="FFFFFF" w:themeFill="background1"/>
          </w:tcPr>
          <w:p w14:paraId="4C99C3C2" w14:textId="30A32821" w:rsidR="00DA456E" w:rsidRDefault="00DA456E" w:rsidP="00DA456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662790</w:t>
            </w:r>
          </w:p>
          <w:p w14:paraId="3AE21C0B" w14:textId="475D7356" w:rsidR="002A49B8" w:rsidRPr="002A49B8" w:rsidRDefault="006034D5" w:rsidP="006B2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r w:rsidRPr="006034D5">
              <w:rPr>
                <w:rFonts w:ascii="Times New Roman" w:hAnsi="Times New Roman" w:cs="Times New Roman"/>
                <w:color w:val="000000"/>
                <w:sz w:val="20"/>
                <w:szCs w:val="20"/>
              </w:rPr>
              <w:t>459703.57</w:t>
            </w:r>
            <w:r>
              <w:rPr>
                <w:rFonts w:ascii="Times New Roman" w:hAnsi="Times New Roman" w:cs="Times New Roman"/>
                <w:color w:val="000000"/>
                <w:sz w:val="20"/>
                <w:szCs w:val="20"/>
              </w:rPr>
              <w:t>)</w:t>
            </w:r>
          </w:p>
          <w:p w14:paraId="731B3B85" w14:textId="77777777" w:rsidR="0052672B" w:rsidRPr="002A49B8" w:rsidRDefault="0052672B" w:rsidP="005267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4225B" w:rsidRPr="002A49B8" w14:paraId="62908488" w14:textId="77777777" w:rsidTr="006B213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790" w:type="dxa"/>
            <w:vMerge w:val="restart"/>
            <w:shd w:val="clear" w:color="auto" w:fill="D9D9D9" w:themeFill="background1" w:themeFillShade="D9"/>
            <w:vAlign w:val="center"/>
          </w:tcPr>
          <w:p w14:paraId="06A70C1F" w14:textId="77777777" w:rsidR="00002747" w:rsidRPr="002A49B8" w:rsidRDefault="00002747" w:rsidP="002A49B8">
            <w:pPr>
              <w:jc w:val="center"/>
              <w:rPr>
                <w:rFonts w:ascii="Times New Roman" w:hAnsi="Times New Roman" w:cs="Times New Roman"/>
                <w:b w:val="0"/>
                <w:bCs w:val="0"/>
                <w:sz w:val="20"/>
                <w:szCs w:val="20"/>
              </w:rPr>
            </w:pPr>
            <w:r w:rsidRPr="002A49B8">
              <w:rPr>
                <w:rFonts w:ascii="Times New Roman" w:hAnsi="Times New Roman" w:cs="Times New Roman"/>
                <w:b w:val="0"/>
                <w:bCs w:val="0"/>
                <w:sz w:val="20"/>
                <w:szCs w:val="20"/>
              </w:rPr>
              <w:t>Average Coverage A</w:t>
            </w:r>
          </w:p>
          <w:p w14:paraId="41388554" w14:textId="42AD7F75" w:rsidR="00002747" w:rsidRPr="002A49B8" w:rsidRDefault="00002747" w:rsidP="002A49B8">
            <w:pPr>
              <w:jc w:val="center"/>
              <w:rPr>
                <w:rFonts w:ascii="Times New Roman" w:hAnsi="Times New Roman" w:cs="Times New Roman"/>
                <w:b w:val="0"/>
                <w:bCs w:val="0"/>
                <w:sz w:val="20"/>
                <w:szCs w:val="20"/>
              </w:rPr>
            </w:pPr>
            <w:r w:rsidRPr="002A49B8">
              <w:rPr>
                <w:rFonts w:ascii="Times New Roman" w:hAnsi="Times New Roman" w:cs="Times New Roman"/>
                <w:b w:val="0"/>
                <w:bCs w:val="0"/>
                <w:sz w:val="20"/>
                <w:szCs w:val="20"/>
              </w:rPr>
              <w:t>(in $)</w:t>
            </w:r>
          </w:p>
        </w:tc>
        <w:tc>
          <w:tcPr>
            <w:tcW w:w="1530" w:type="dxa"/>
            <w:shd w:val="clear" w:color="auto" w:fill="FFFFFF" w:themeFill="background1"/>
            <w:vAlign w:val="center"/>
          </w:tcPr>
          <w:p w14:paraId="337DF040" w14:textId="28F60787" w:rsidR="00002747" w:rsidRPr="002A49B8" w:rsidRDefault="00002747" w:rsidP="006B21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Pre-moratorium (2018)</w:t>
            </w:r>
          </w:p>
        </w:tc>
        <w:tc>
          <w:tcPr>
            <w:tcW w:w="1440" w:type="dxa"/>
            <w:shd w:val="clear" w:color="auto" w:fill="FFFFFF" w:themeFill="background1"/>
          </w:tcPr>
          <w:p w14:paraId="67B521F6" w14:textId="341CF1D9" w:rsidR="00002747" w:rsidRPr="002A49B8" w:rsidRDefault="00002747"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458539</w:t>
            </w:r>
          </w:p>
          <w:p w14:paraId="340DFB3E" w14:textId="77777777" w:rsidR="00002747" w:rsidRDefault="002A49B8" w:rsidP="006B21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37AF0">
              <w:rPr>
                <w:rFonts w:ascii="Times New Roman" w:hAnsi="Times New Roman" w:cs="Times New Roman"/>
                <w:color w:val="000000"/>
                <w:sz w:val="20"/>
                <w:szCs w:val="20"/>
              </w:rPr>
              <w:t>(</w:t>
            </w:r>
            <w:r w:rsidR="00E37AF0" w:rsidRPr="00E37AF0">
              <w:rPr>
                <w:rFonts w:ascii="Times New Roman" w:hAnsi="Times New Roman" w:cs="Times New Roman"/>
                <w:color w:val="000000"/>
                <w:sz w:val="20"/>
                <w:szCs w:val="20"/>
              </w:rPr>
              <w:t>319007.9</w:t>
            </w:r>
            <w:r w:rsidR="006B2130">
              <w:rPr>
                <w:rFonts w:ascii="Times New Roman" w:hAnsi="Times New Roman" w:cs="Times New Roman"/>
                <w:color w:val="000000"/>
                <w:sz w:val="20"/>
                <w:szCs w:val="20"/>
              </w:rPr>
              <w:t>2</w:t>
            </w:r>
            <w:r w:rsidRPr="00E37AF0">
              <w:rPr>
                <w:rFonts w:ascii="Times New Roman" w:hAnsi="Times New Roman" w:cs="Times New Roman"/>
                <w:color w:val="000000"/>
                <w:sz w:val="20"/>
                <w:szCs w:val="20"/>
              </w:rPr>
              <w:t>)</w:t>
            </w:r>
          </w:p>
          <w:p w14:paraId="305FCB06" w14:textId="722EB45E" w:rsidR="006B2130" w:rsidRPr="006B2130" w:rsidRDefault="006B2130" w:rsidP="006B21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710" w:type="dxa"/>
            <w:shd w:val="clear" w:color="auto" w:fill="FFFFFF" w:themeFill="background1"/>
          </w:tcPr>
          <w:p w14:paraId="38C09BBE" w14:textId="4C3ABE07" w:rsidR="00002747" w:rsidRPr="002A49B8" w:rsidRDefault="00002747"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358372</w:t>
            </w:r>
          </w:p>
          <w:p w14:paraId="65FC610C" w14:textId="04CA6F44" w:rsidR="00002747" w:rsidRPr="006B2130" w:rsidRDefault="002A49B8" w:rsidP="006B21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E37AF0" w:rsidRPr="00E37AF0">
              <w:rPr>
                <w:rFonts w:ascii="Times New Roman" w:hAnsi="Times New Roman" w:cs="Times New Roman"/>
                <w:color w:val="000000"/>
                <w:sz w:val="20"/>
                <w:szCs w:val="20"/>
              </w:rPr>
              <w:t>139607.86</w:t>
            </w:r>
            <w:r w:rsidRPr="002A49B8">
              <w:rPr>
                <w:rFonts w:ascii="Times New Roman" w:hAnsi="Times New Roman" w:cs="Times New Roman"/>
                <w:color w:val="000000"/>
                <w:sz w:val="20"/>
                <w:szCs w:val="20"/>
              </w:rPr>
              <w:t>)</w:t>
            </w:r>
          </w:p>
        </w:tc>
        <w:tc>
          <w:tcPr>
            <w:tcW w:w="2250" w:type="dxa"/>
            <w:shd w:val="clear" w:color="auto" w:fill="FFFFFF" w:themeFill="background1"/>
          </w:tcPr>
          <w:p w14:paraId="7B9463C1" w14:textId="25145C03" w:rsidR="00002747" w:rsidRPr="002A49B8" w:rsidRDefault="00002747"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336855</w:t>
            </w:r>
          </w:p>
          <w:p w14:paraId="1E23E839" w14:textId="651B3395" w:rsidR="00002747" w:rsidRPr="006B2130" w:rsidRDefault="002A49B8" w:rsidP="006B21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E37AF0" w:rsidRPr="00E37AF0">
              <w:rPr>
                <w:rFonts w:ascii="Times New Roman" w:hAnsi="Times New Roman" w:cs="Times New Roman"/>
                <w:color w:val="000000"/>
                <w:sz w:val="20"/>
                <w:szCs w:val="20"/>
              </w:rPr>
              <w:t>100111.37</w:t>
            </w:r>
            <w:r w:rsidRPr="002A49B8">
              <w:rPr>
                <w:rFonts w:ascii="Times New Roman" w:hAnsi="Times New Roman" w:cs="Times New Roman"/>
                <w:color w:val="000000"/>
                <w:sz w:val="20"/>
                <w:szCs w:val="20"/>
              </w:rPr>
              <w:t>)</w:t>
            </w:r>
          </w:p>
        </w:tc>
      </w:tr>
      <w:tr w:rsidR="004415E4" w:rsidRPr="002A49B8" w14:paraId="77858F3E" w14:textId="77777777" w:rsidTr="006B2130">
        <w:trPr>
          <w:trHeight w:val="166"/>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D9D9D9" w:themeFill="background1" w:themeFillShade="D9"/>
            <w:vAlign w:val="center"/>
          </w:tcPr>
          <w:p w14:paraId="6E420FE2" w14:textId="77777777" w:rsidR="00002747" w:rsidRPr="002A49B8" w:rsidRDefault="00002747" w:rsidP="002A49B8">
            <w:pPr>
              <w:jc w:val="center"/>
              <w:rPr>
                <w:rFonts w:ascii="Times New Roman" w:hAnsi="Times New Roman" w:cs="Times New Roman"/>
                <w:b w:val="0"/>
                <w:bCs w:val="0"/>
                <w:sz w:val="20"/>
                <w:szCs w:val="20"/>
              </w:rPr>
            </w:pPr>
          </w:p>
        </w:tc>
        <w:tc>
          <w:tcPr>
            <w:tcW w:w="1530" w:type="dxa"/>
            <w:shd w:val="clear" w:color="auto" w:fill="FFFFFF" w:themeFill="background1"/>
            <w:vAlign w:val="center"/>
          </w:tcPr>
          <w:p w14:paraId="7768568C" w14:textId="4492DFFA" w:rsidR="00002747" w:rsidRPr="002A49B8" w:rsidRDefault="00002747" w:rsidP="006B2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Post-moratorium</w:t>
            </w:r>
          </w:p>
        </w:tc>
        <w:tc>
          <w:tcPr>
            <w:tcW w:w="1440" w:type="dxa"/>
            <w:shd w:val="clear" w:color="auto" w:fill="FFFFFF" w:themeFill="background1"/>
          </w:tcPr>
          <w:p w14:paraId="11F46B59" w14:textId="1EB9DA8F" w:rsidR="00002747" w:rsidRPr="002A49B8" w:rsidRDefault="00002747"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490136</w:t>
            </w:r>
          </w:p>
          <w:p w14:paraId="2017FA77" w14:textId="7D1E0D05" w:rsidR="002A49B8" w:rsidRPr="002A49B8" w:rsidRDefault="002A49B8"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6034D5" w:rsidRPr="006034D5">
              <w:rPr>
                <w:rFonts w:ascii="Times New Roman" w:hAnsi="Times New Roman" w:cs="Times New Roman"/>
                <w:color w:val="000000"/>
                <w:sz w:val="20"/>
                <w:szCs w:val="20"/>
              </w:rPr>
              <w:t>321666.8</w:t>
            </w:r>
            <w:r w:rsidR="006B2130">
              <w:rPr>
                <w:rFonts w:ascii="Times New Roman" w:hAnsi="Times New Roman" w:cs="Times New Roman"/>
                <w:color w:val="000000"/>
                <w:sz w:val="20"/>
                <w:szCs w:val="20"/>
              </w:rPr>
              <w:t>6</w:t>
            </w:r>
            <w:r w:rsidRPr="002A49B8">
              <w:rPr>
                <w:rFonts w:ascii="Times New Roman" w:hAnsi="Times New Roman" w:cs="Times New Roman"/>
                <w:color w:val="000000"/>
                <w:sz w:val="20"/>
                <w:szCs w:val="20"/>
              </w:rPr>
              <w:t>)</w:t>
            </w:r>
          </w:p>
          <w:p w14:paraId="78CD2607" w14:textId="77777777" w:rsidR="00002747" w:rsidRPr="002A49B8" w:rsidRDefault="00002747"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10" w:type="dxa"/>
            <w:shd w:val="clear" w:color="auto" w:fill="FFFFFF" w:themeFill="background1"/>
          </w:tcPr>
          <w:p w14:paraId="00E3F865" w14:textId="0BE87651" w:rsidR="00002747" w:rsidRPr="002A49B8" w:rsidRDefault="00002747"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394475</w:t>
            </w:r>
          </w:p>
          <w:p w14:paraId="2615426E" w14:textId="3E3265A0" w:rsidR="002A49B8" w:rsidRPr="002A49B8" w:rsidRDefault="002A49B8"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6034D5" w:rsidRPr="006034D5">
              <w:rPr>
                <w:rFonts w:ascii="Times New Roman" w:hAnsi="Times New Roman" w:cs="Times New Roman"/>
                <w:color w:val="000000"/>
                <w:sz w:val="20"/>
                <w:szCs w:val="20"/>
              </w:rPr>
              <w:t>161829.5</w:t>
            </w:r>
            <w:r w:rsidR="006034D5">
              <w:rPr>
                <w:rFonts w:ascii="Times New Roman" w:hAnsi="Times New Roman" w:cs="Times New Roman"/>
                <w:color w:val="000000"/>
                <w:sz w:val="20"/>
                <w:szCs w:val="20"/>
              </w:rPr>
              <w:t>5)</w:t>
            </w:r>
          </w:p>
          <w:p w14:paraId="7138CD68" w14:textId="77777777" w:rsidR="00002747" w:rsidRPr="002A49B8" w:rsidRDefault="00002747"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50" w:type="dxa"/>
            <w:shd w:val="clear" w:color="auto" w:fill="FFFFFF" w:themeFill="background1"/>
          </w:tcPr>
          <w:p w14:paraId="71AFB67B" w14:textId="15641F26" w:rsidR="00002747" w:rsidRPr="002A49B8" w:rsidRDefault="00002747"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371864</w:t>
            </w:r>
          </w:p>
          <w:p w14:paraId="34B786CA" w14:textId="255054C9" w:rsidR="002A49B8" w:rsidRPr="002A49B8" w:rsidRDefault="002A49B8"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6034D5" w:rsidRPr="006034D5">
              <w:rPr>
                <w:rFonts w:ascii="Times New Roman" w:hAnsi="Times New Roman" w:cs="Times New Roman"/>
                <w:color w:val="000000"/>
                <w:sz w:val="20"/>
                <w:szCs w:val="20"/>
              </w:rPr>
              <w:t>116083.87</w:t>
            </w:r>
            <w:r w:rsidRPr="002A49B8">
              <w:rPr>
                <w:rFonts w:ascii="Times New Roman" w:hAnsi="Times New Roman" w:cs="Times New Roman"/>
                <w:color w:val="000000"/>
                <w:sz w:val="20"/>
                <w:szCs w:val="20"/>
              </w:rPr>
              <w:t>)</w:t>
            </w:r>
          </w:p>
          <w:p w14:paraId="2B2CFA28" w14:textId="77777777" w:rsidR="00002747" w:rsidRPr="002A49B8" w:rsidRDefault="00002747"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B2130" w:rsidRPr="002A49B8" w14:paraId="29DAF294" w14:textId="77777777" w:rsidTr="006B213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790" w:type="dxa"/>
            <w:vMerge w:val="restart"/>
            <w:shd w:val="clear" w:color="auto" w:fill="D9D9D9" w:themeFill="background1" w:themeFillShade="D9"/>
            <w:vAlign w:val="center"/>
          </w:tcPr>
          <w:p w14:paraId="2A0A2E60" w14:textId="77777777" w:rsidR="00002747" w:rsidRPr="002A49B8" w:rsidRDefault="00002747" w:rsidP="002A49B8">
            <w:pPr>
              <w:jc w:val="center"/>
              <w:rPr>
                <w:rFonts w:ascii="Times New Roman" w:hAnsi="Times New Roman" w:cs="Times New Roman"/>
                <w:b w:val="0"/>
                <w:bCs w:val="0"/>
                <w:sz w:val="20"/>
                <w:szCs w:val="20"/>
              </w:rPr>
            </w:pPr>
            <w:r w:rsidRPr="002A49B8">
              <w:rPr>
                <w:rFonts w:ascii="Times New Roman" w:hAnsi="Times New Roman" w:cs="Times New Roman"/>
                <w:b w:val="0"/>
                <w:bCs w:val="0"/>
                <w:sz w:val="20"/>
                <w:szCs w:val="20"/>
              </w:rPr>
              <w:t>Average Coverage C</w:t>
            </w:r>
          </w:p>
          <w:p w14:paraId="5D394D97" w14:textId="5E119016" w:rsidR="00002747" w:rsidRPr="002A49B8" w:rsidRDefault="00002747" w:rsidP="002A49B8">
            <w:pPr>
              <w:jc w:val="center"/>
              <w:rPr>
                <w:rFonts w:ascii="Times New Roman" w:hAnsi="Times New Roman" w:cs="Times New Roman"/>
                <w:b w:val="0"/>
                <w:bCs w:val="0"/>
                <w:sz w:val="20"/>
                <w:szCs w:val="20"/>
              </w:rPr>
            </w:pPr>
            <w:r w:rsidRPr="002A49B8">
              <w:rPr>
                <w:rFonts w:ascii="Times New Roman" w:hAnsi="Times New Roman" w:cs="Times New Roman"/>
                <w:b w:val="0"/>
                <w:bCs w:val="0"/>
                <w:sz w:val="20"/>
                <w:szCs w:val="20"/>
              </w:rPr>
              <w:t>(in $)</w:t>
            </w:r>
          </w:p>
        </w:tc>
        <w:tc>
          <w:tcPr>
            <w:tcW w:w="1530" w:type="dxa"/>
            <w:shd w:val="clear" w:color="auto" w:fill="FFFFFF" w:themeFill="background1"/>
            <w:vAlign w:val="center"/>
          </w:tcPr>
          <w:p w14:paraId="3AC1D28F" w14:textId="65F19540" w:rsidR="00002747" w:rsidRPr="002A49B8" w:rsidRDefault="00002747" w:rsidP="006B21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Pre-moratorium (2018)</w:t>
            </w:r>
          </w:p>
        </w:tc>
        <w:tc>
          <w:tcPr>
            <w:tcW w:w="1440" w:type="dxa"/>
            <w:shd w:val="clear" w:color="auto" w:fill="FFFFFF" w:themeFill="background1"/>
          </w:tcPr>
          <w:p w14:paraId="74E8D070" w14:textId="359D081C" w:rsidR="00002747" w:rsidRPr="002A49B8" w:rsidRDefault="00002747"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294767</w:t>
            </w:r>
          </w:p>
          <w:p w14:paraId="776DA66E" w14:textId="35A97CED" w:rsidR="002A49B8" w:rsidRPr="002A49B8" w:rsidRDefault="002A49B8"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E37AF0">
              <w:rPr>
                <w:rFonts w:ascii="Times New Roman" w:hAnsi="Times New Roman" w:cs="Times New Roman"/>
                <w:color w:val="000000"/>
                <w:sz w:val="20"/>
                <w:szCs w:val="20"/>
              </w:rPr>
              <w:t>152702.10</w:t>
            </w:r>
            <w:r w:rsidRPr="002A49B8">
              <w:rPr>
                <w:rFonts w:ascii="Times New Roman" w:hAnsi="Times New Roman" w:cs="Times New Roman"/>
                <w:color w:val="000000"/>
                <w:sz w:val="20"/>
                <w:szCs w:val="20"/>
              </w:rPr>
              <w:t>)</w:t>
            </w:r>
          </w:p>
          <w:p w14:paraId="7A62812E" w14:textId="073EF679" w:rsidR="00002747" w:rsidRPr="002A49B8" w:rsidRDefault="00002747"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10" w:type="dxa"/>
            <w:shd w:val="clear" w:color="auto" w:fill="FFFFFF" w:themeFill="background1"/>
          </w:tcPr>
          <w:p w14:paraId="6A133F0D" w14:textId="5E4D2DFD" w:rsidR="00002747" w:rsidRPr="002A49B8" w:rsidRDefault="00002747"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46696</w:t>
            </w:r>
          </w:p>
          <w:p w14:paraId="1DC81EA4" w14:textId="08D03A6D" w:rsidR="002A49B8" w:rsidRPr="002A49B8" w:rsidRDefault="002A49B8"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E37AF0" w:rsidRPr="00E37AF0">
              <w:rPr>
                <w:rFonts w:ascii="Times New Roman" w:hAnsi="Times New Roman" w:cs="Times New Roman"/>
                <w:color w:val="000000"/>
                <w:sz w:val="20"/>
                <w:szCs w:val="20"/>
              </w:rPr>
              <w:t>32056.08</w:t>
            </w:r>
            <w:r w:rsidRPr="002A49B8">
              <w:rPr>
                <w:rFonts w:ascii="Times New Roman" w:hAnsi="Times New Roman" w:cs="Times New Roman"/>
                <w:color w:val="000000"/>
                <w:sz w:val="20"/>
                <w:szCs w:val="20"/>
              </w:rPr>
              <w:t>)</w:t>
            </w:r>
          </w:p>
          <w:p w14:paraId="3002AE0F" w14:textId="15823F33" w:rsidR="00002747" w:rsidRPr="002A49B8" w:rsidRDefault="00002747"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50" w:type="dxa"/>
            <w:shd w:val="clear" w:color="auto" w:fill="FFFFFF" w:themeFill="background1"/>
          </w:tcPr>
          <w:p w14:paraId="1F31F785" w14:textId="617D3E4B" w:rsidR="00002747" w:rsidRPr="002A49B8" w:rsidRDefault="00002747"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11155</w:t>
            </w:r>
          </w:p>
          <w:p w14:paraId="4DBA3F9B" w14:textId="7A850FDB" w:rsidR="002A49B8" w:rsidRPr="002A49B8" w:rsidRDefault="002A49B8"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E37AF0" w:rsidRPr="00E37AF0">
              <w:rPr>
                <w:rFonts w:ascii="Times New Roman" w:hAnsi="Times New Roman" w:cs="Times New Roman"/>
                <w:color w:val="000000"/>
                <w:sz w:val="20"/>
                <w:szCs w:val="20"/>
              </w:rPr>
              <w:t>5158.1</w:t>
            </w:r>
            <w:r w:rsidR="00E37AF0">
              <w:rPr>
                <w:rFonts w:ascii="Times New Roman" w:hAnsi="Times New Roman" w:cs="Times New Roman"/>
                <w:color w:val="000000"/>
                <w:sz w:val="20"/>
                <w:szCs w:val="20"/>
              </w:rPr>
              <w:t>5</w:t>
            </w:r>
            <w:r w:rsidRPr="002A49B8">
              <w:rPr>
                <w:rFonts w:ascii="Times New Roman" w:hAnsi="Times New Roman" w:cs="Times New Roman"/>
                <w:color w:val="000000"/>
                <w:sz w:val="20"/>
                <w:szCs w:val="20"/>
              </w:rPr>
              <w:t>)</w:t>
            </w:r>
          </w:p>
          <w:p w14:paraId="71DC41F3" w14:textId="40BF46B1" w:rsidR="00002747" w:rsidRPr="002A49B8" w:rsidRDefault="00002747" w:rsidP="000027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415E4" w:rsidRPr="002A49B8" w14:paraId="6094E6BE" w14:textId="77777777" w:rsidTr="006B2130">
        <w:trPr>
          <w:trHeight w:val="166"/>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D9D9D9" w:themeFill="background1" w:themeFillShade="D9"/>
          </w:tcPr>
          <w:p w14:paraId="6B39167C" w14:textId="77777777" w:rsidR="00002747" w:rsidRPr="002A49B8" w:rsidRDefault="00002747" w:rsidP="00002747">
            <w:pPr>
              <w:jc w:val="center"/>
              <w:rPr>
                <w:rFonts w:ascii="Times New Roman" w:hAnsi="Times New Roman" w:cs="Times New Roman"/>
                <w:sz w:val="20"/>
                <w:szCs w:val="20"/>
              </w:rPr>
            </w:pPr>
          </w:p>
        </w:tc>
        <w:tc>
          <w:tcPr>
            <w:tcW w:w="1530" w:type="dxa"/>
            <w:shd w:val="clear" w:color="auto" w:fill="FFFFFF" w:themeFill="background1"/>
            <w:vAlign w:val="center"/>
          </w:tcPr>
          <w:p w14:paraId="082071E9" w14:textId="51A745DF" w:rsidR="00002747" w:rsidRPr="002A49B8" w:rsidRDefault="00002747" w:rsidP="006B2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Post-moratorium</w:t>
            </w:r>
          </w:p>
        </w:tc>
        <w:tc>
          <w:tcPr>
            <w:tcW w:w="1440" w:type="dxa"/>
            <w:shd w:val="clear" w:color="auto" w:fill="FFFFFF" w:themeFill="background1"/>
          </w:tcPr>
          <w:p w14:paraId="4ED645A4" w14:textId="44DACF35" w:rsidR="00002747" w:rsidRPr="002A49B8" w:rsidRDefault="00002747"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311446</w:t>
            </w:r>
          </w:p>
          <w:p w14:paraId="5FBEA978" w14:textId="15D16C61" w:rsidR="00002747" w:rsidRPr="006B2130" w:rsidRDefault="002A49B8" w:rsidP="006B2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6034D5" w:rsidRPr="006034D5">
              <w:rPr>
                <w:rFonts w:ascii="Times New Roman" w:hAnsi="Times New Roman" w:cs="Times New Roman"/>
                <w:color w:val="000000"/>
                <w:sz w:val="20"/>
                <w:szCs w:val="20"/>
              </w:rPr>
              <w:t>159757.</w:t>
            </w:r>
            <w:r w:rsidR="006B2130">
              <w:rPr>
                <w:rFonts w:ascii="Times New Roman" w:hAnsi="Times New Roman" w:cs="Times New Roman"/>
                <w:color w:val="000000"/>
                <w:sz w:val="20"/>
                <w:szCs w:val="20"/>
              </w:rPr>
              <w:t>20</w:t>
            </w:r>
            <w:r w:rsidRPr="002A49B8">
              <w:rPr>
                <w:rFonts w:ascii="Times New Roman" w:hAnsi="Times New Roman" w:cs="Times New Roman"/>
                <w:color w:val="000000"/>
                <w:sz w:val="20"/>
                <w:szCs w:val="20"/>
              </w:rPr>
              <w:t>)</w:t>
            </w:r>
          </w:p>
        </w:tc>
        <w:tc>
          <w:tcPr>
            <w:tcW w:w="1710" w:type="dxa"/>
            <w:shd w:val="clear" w:color="auto" w:fill="FFFFFF" w:themeFill="background1"/>
          </w:tcPr>
          <w:p w14:paraId="0012B10E" w14:textId="166D3759" w:rsidR="00002747" w:rsidRPr="002A49B8" w:rsidRDefault="00002747"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51876</w:t>
            </w:r>
          </w:p>
          <w:p w14:paraId="307858C8" w14:textId="1E37720C" w:rsidR="00002747" w:rsidRPr="006B2130" w:rsidRDefault="002A49B8" w:rsidP="006B2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6034D5" w:rsidRPr="006034D5">
              <w:rPr>
                <w:rFonts w:ascii="Times New Roman" w:hAnsi="Times New Roman" w:cs="Times New Roman"/>
                <w:color w:val="000000"/>
                <w:sz w:val="20"/>
                <w:szCs w:val="20"/>
              </w:rPr>
              <w:t>35497.5</w:t>
            </w:r>
            <w:r w:rsidR="006034D5">
              <w:rPr>
                <w:rFonts w:ascii="Times New Roman" w:hAnsi="Times New Roman" w:cs="Times New Roman"/>
                <w:color w:val="000000"/>
                <w:sz w:val="20"/>
                <w:szCs w:val="20"/>
              </w:rPr>
              <w:t>5</w:t>
            </w:r>
            <w:r w:rsidRPr="002A49B8">
              <w:rPr>
                <w:rFonts w:ascii="Times New Roman" w:hAnsi="Times New Roman" w:cs="Times New Roman"/>
                <w:color w:val="000000"/>
                <w:sz w:val="20"/>
                <w:szCs w:val="20"/>
              </w:rPr>
              <w:t>)</w:t>
            </w:r>
          </w:p>
        </w:tc>
        <w:tc>
          <w:tcPr>
            <w:tcW w:w="2250" w:type="dxa"/>
            <w:shd w:val="clear" w:color="auto" w:fill="FFFFFF" w:themeFill="background1"/>
          </w:tcPr>
          <w:p w14:paraId="646EDB7D" w14:textId="74CC6651" w:rsidR="00002747" w:rsidRPr="002A49B8" w:rsidRDefault="00002747" w:rsidP="000027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10988</w:t>
            </w:r>
          </w:p>
          <w:p w14:paraId="13F2B19F" w14:textId="501F01A9" w:rsidR="00002747" w:rsidRPr="006B2130" w:rsidRDefault="002A49B8" w:rsidP="006B21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A49B8">
              <w:rPr>
                <w:rFonts w:ascii="Times New Roman" w:hAnsi="Times New Roman" w:cs="Times New Roman"/>
                <w:color w:val="000000"/>
                <w:sz w:val="20"/>
                <w:szCs w:val="20"/>
              </w:rPr>
              <w:t>(</w:t>
            </w:r>
            <w:r w:rsidR="006034D5" w:rsidRPr="006034D5">
              <w:rPr>
                <w:rFonts w:ascii="Times New Roman" w:hAnsi="Times New Roman" w:cs="Times New Roman"/>
                <w:color w:val="000000"/>
                <w:sz w:val="20"/>
                <w:szCs w:val="20"/>
              </w:rPr>
              <w:t>5657.1</w:t>
            </w:r>
            <w:r w:rsidR="006B2130">
              <w:rPr>
                <w:rFonts w:ascii="Times New Roman" w:hAnsi="Times New Roman" w:cs="Times New Roman"/>
                <w:color w:val="000000"/>
                <w:sz w:val="20"/>
                <w:szCs w:val="20"/>
              </w:rPr>
              <w:t>5</w:t>
            </w:r>
            <w:r w:rsidRPr="002A49B8">
              <w:rPr>
                <w:rFonts w:ascii="Times New Roman" w:hAnsi="Times New Roman" w:cs="Times New Roman"/>
                <w:color w:val="000000"/>
                <w:sz w:val="20"/>
                <w:szCs w:val="20"/>
              </w:rPr>
              <w:t>)</w:t>
            </w:r>
          </w:p>
        </w:tc>
      </w:tr>
      <w:tr w:rsidR="004415E4" w:rsidRPr="002A49B8" w14:paraId="42F894A8" w14:textId="77777777" w:rsidTr="006B2130">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720" w:type="dxa"/>
            <w:gridSpan w:val="5"/>
            <w:tcBorders>
              <w:bottom w:val="nil"/>
            </w:tcBorders>
            <w:shd w:val="clear" w:color="auto" w:fill="FFFFFF" w:themeFill="background1"/>
          </w:tcPr>
          <w:p w14:paraId="30DEAD21" w14:textId="77777777" w:rsidR="00871C2C" w:rsidRDefault="00871C2C" w:rsidP="00871C2C">
            <w:pPr>
              <w:rPr>
                <w:rFonts w:ascii="Times New Roman" w:hAnsi="Times New Roman" w:cs="Times New Roman"/>
                <w:sz w:val="20"/>
                <w:szCs w:val="20"/>
              </w:rPr>
            </w:pPr>
          </w:p>
          <w:p w14:paraId="4F465285" w14:textId="77777777" w:rsidR="004E2408" w:rsidRDefault="004E2408" w:rsidP="00871C2C">
            <w:pPr>
              <w:rPr>
                <w:rFonts w:ascii="Times New Roman" w:hAnsi="Times New Roman" w:cs="Times New Roman"/>
                <w:sz w:val="20"/>
                <w:szCs w:val="20"/>
              </w:rPr>
            </w:pPr>
          </w:p>
          <w:p w14:paraId="29FBBF40" w14:textId="77777777" w:rsidR="004E2408" w:rsidRDefault="004E2408" w:rsidP="00871C2C">
            <w:pPr>
              <w:rPr>
                <w:rFonts w:ascii="Times New Roman" w:hAnsi="Times New Roman" w:cs="Times New Roman"/>
                <w:sz w:val="20"/>
                <w:szCs w:val="20"/>
              </w:rPr>
            </w:pPr>
          </w:p>
          <w:p w14:paraId="15EF1E7A" w14:textId="77777777" w:rsidR="004E2408" w:rsidRDefault="004E2408" w:rsidP="00871C2C">
            <w:pPr>
              <w:rPr>
                <w:rFonts w:ascii="Times New Roman" w:hAnsi="Times New Roman" w:cs="Times New Roman"/>
                <w:sz w:val="20"/>
                <w:szCs w:val="20"/>
              </w:rPr>
            </w:pPr>
          </w:p>
          <w:p w14:paraId="33CC72B0" w14:textId="77777777" w:rsidR="004E2408" w:rsidRDefault="004E2408" w:rsidP="00871C2C">
            <w:pPr>
              <w:rPr>
                <w:rFonts w:ascii="Times New Roman" w:hAnsi="Times New Roman" w:cs="Times New Roman"/>
                <w:b w:val="0"/>
                <w:bCs w:val="0"/>
                <w:sz w:val="20"/>
                <w:szCs w:val="20"/>
              </w:rPr>
            </w:pPr>
          </w:p>
          <w:p w14:paraId="53DF9233" w14:textId="77777777" w:rsidR="002314F0" w:rsidRPr="002A49B8" w:rsidRDefault="002314F0" w:rsidP="00871C2C">
            <w:pPr>
              <w:rPr>
                <w:rFonts w:ascii="Times New Roman" w:hAnsi="Times New Roman" w:cs="Times New Roman"/>
                <w:sz w:val="20"/>
                <w:szCs w:val="20"/>
              </w:rPr>
            </w:pPr>
          </w:p>
        </w:tc>
      </w:tr>
      <w:tr w:rsidR="004415E4" w:rsidRPr="002A49B8" w14:paraId="2F994E91" w14:textId="77777777" w:rsidTr="006B2130">
        <w:trPr>
          <w:trHeight w:val="73"/>
        </w:trPr>
        <w:tc>
          <w:tcPr>
            <w:cnfStyle w:val="001000000000" w:firstRow="0" w:lastRow="0" w:firstColumn="1" w:lastColumn="0" w:oddVBand="0" w:evenVBand="0" w:oddHBand="0" w:evenHBand="0" w:firstRowFirstColumn="0" w:firstRowLastColumn="0" w:lastRowFirstColumn="0" w:lastRowLastColumn="0"/>
            <w:tcW w:w="9720" w:type="dxa"/>
            <w:gridSpan w:val="5"/>
            <w:tcBorders>
              <w:top w:val="nil"/>
              <w:bottom w:val="single" w:sz="4" w:space="0" w:color="auto"/>
            </w:tcBorders>
            <w:shd w:val="clear" w:color="auto" w:fill="FFFFFF" w:themeFill="background1"/>
          </w:tcPr>
          <w:p w14:paraId="2D577B8B" w14:textId="1A161E7B" w:rsidR="004415E4" w:rsidRDefault="001F1A5B" w:rsidP="001F1A5B">
            <w:pPr>
              <w:jc w:val="center"/>
              <w:rPr>
                <w:rFonts w:ascii="Times New Roman" w:hAnsi="Times New Roman" w:cs="Times New Roman"/>
                <w:sz w:val="20"/>
                <w:szCs w:val="20"/>
              </w:rPr>
            </w:pPr>
            <w:r w:rsidRPr="002A49B8">
              <w:rPr>
                <w:rFonts w:ascii="Times New Roman" w:hAnsi="Times New Roman" w:cs="Times New Roman"/>
                <w:b w:val="0"/>
                <w:bCs w:val="0"/>
                <w:sz w:val="20"/>
                <w:szCs w:val="20"/>
              </w:rPr>
              <w:t xml:space="preserve">Table </w:t>
            </w:r>
            <w:r w:rsidR="00C268FB" w:rsidRPr="002A49B8">
              <w:rPr>
                <w:rFonts w:ascii="Times New Roman" w:hAnsi="Times New Roman" w:cs="Times New Roman"/>
                <w:b w:val="0"/>
                <w:bCs w:val="0"/>
                <w:sz w:val="20"/>
                <w:szCs w:val="20"/>
              </w:rPr>
              <w:t>3</w:t>
            </w:r>
            <w:r w:rsidRPr="002A49B8">
              <w:rPr>
                <w:rFonts w:ascii="Times New Roman" w:hAnsi="Times New Roman" w:cs="Times New Roman"/>
                <w:b w:val="0"/>
                <w:bCs w:val="0"/>
                <w:sz w:val="20"/>
                <w:szCs w:val="20"/>
              </w:rPr>
              <w:t xml:space="preserve">: </w:t>
            </w:r>
            <w:r w:rsidR="006B2130">
              <w:rPr>
                <w:rFonts w:ascii="Times New Roman" w:hAnsi="Times New Roman" w:cs="Times New Roman"/>
                <w:b w:val="0"/>
                <w:bCs w:val="0"/>
                <w:sz w:val="20"/>
                <w:szCs w:val="20"/>
              </w:rPr>
              <w:t xml:space="preserve">Short Panel </w:t>
            </w:r>
            <w:r w:rsidR="00691A38">
              <w:rPr>
                <w:rFonts w:ascii="Times New Roman" w:hAnsi="Times New Roman" w:cs="Times New Roman"/>
                <w:b w:val="0"/>
                <w:bCs w:val="0"/>
                <w:sz w:val="20"/>
                <w:szCs w:val="20"/>
              </w:rPr>
              <w:t>–</w:t>
            </w:r>
            <w:r w:rsidR="00A77A42">
              <w:rPr>
                <w:rFonts w:ascii="Times New Roman" w:hAnsi="Times New Roman" w:cs="Times New Roman"/>
                <w:b w:val="0"/>
                <w:bCs w:val="0"/>
                <w:sz w:val="20"/>
                <w:szCs w:val="20"/>
              </w:rPr>
              <w:t xml:space="preserve"> </w:t>
            </w:r>
            <w:r w:rsidRPr="002A49B8">
              <w:rPr>
                <w:rFonts w:ascii="Times New Roman" w:hAnsi="Times New Roman" w:cs="Times New Roman"/>
                <w:b w:val="0"/>
                <w:bCs w:val="0"/>
                <w:sz w:val="20"/>
                <w:szCs w:val="20"/>
              </w:rPr>
              <w:t xml:space="preserve">Fire-damage </w:t>
            </w:r>
            <w:r w:rsidR="00C268FB" w:rsidRPr="002A49B8">
              <w:rPr>
                <w:rFonts w:ascii="Times New Roman" w:hAnsi="Times New Roman" w:cs="Times New Roman"/>
                <w:b w:val="0"/>
                <w:bCs w:val="0"/>
                <w:sz w:val="20"/>
                <w:szCs w:val="20"/>
              </w:rPr>
              <w:t>category-based</w:t>
            </w:r>
            <w:r w:rsidRPr="002A49B8">
              <w:rPr>
                <w:rFonts w:ascii="Times New Roman" w:hAnsi="Times New Roman" w:cs="Times New Roman"/>
                <w:b w:val="0"/>
                <w:bCs w:val="0"/>
                <w:sz w:val="20"/>
                <w:szCs w:val="20"/>
              </w:rPr>
              <w:t xml:space="preserve"> sample</w:t>
            </w:r>
            <w:r w:rsidR="00F86EF2" w:rsidRPr="002A49B8">
              <w:rPr>
                <w:rFonts w:ascii="Times New Roman" w:hAnsi="Times New Roman" w:cs="Times New Roman"/>
                <w:b w:val="0"/>
                <w:bCs w:val="0"/>
                <w:sz w:val="20"/>
                <w:szCs w:val="20"/>
              </w:rPr>
              <w:t xml:space="preserve"> </w:t>
            </w:r>
            <w:r w:rsidR="0070159A" w:rsidRPr="002A49B8">
              <w:rPr>
                <w:rFonts w:ascii="Times New Roman" w:hAnsi="Times New Roman" w:cs="Times New Roman"/>
                <w:b w:val="0"/>
                <w:bCs w:val="0"/>
                <w:sz w:val="20"/>
                <w:szCs w:val="20"/>
              </w:rPr>
              <w:t xml:space="preserve">sizes </w:t>
            </w:r>
            <w:r w:rsidRPr="002A49B8">
              <w:rPr>
                <w:rFonts w:ascii="Times New Roman" w:hAnsi="Times New Roman" w:cs="Times New Roman"/>
                <w:b w:val="0"/>
                <w:bCs w:val="0"/>
                <w:sz w:val="20"/>
                <w:szCs w:val="20"/>
              </w:rPr>
              <w:t>and treatment based sub-sample</w:t>
            </w:r>
            <w:r w:rsidR="0070159A" w:rsidRPr="002A49B8">
              <w:rPr>
                <w:rFonts w:ascii="Times New Roman" w:hAnsi="Times New Roman" w:cs="Times New Roman"/>
                <w:b w:val="0"/>
                <w:bCs w:val="0"/>
                <w:sz w:val="20"/>
                <w:szCs w:val="20"/>
              </w:rPr>
              <w:t xml:space="preserve"> </w:t>
            </w:r>
            <w:proofErr w:type="gramStart"/>
            <w:r w:rsidR="0070159A" w:rsidRPr="002A49B8">
              <w:rPr>
                <w:rFonts w:ascii="Times New Roman" w:hAnsi="Times New Roman" w:cs="Times New Roman"/>
                <w:b w:val="0"/>
                <w:bCs w:val="0"/>
                <w:sz w:val="20"/>
                <w:szCs w:val="20"/>
              </w:rPr>
              <w:t>sizes</w:t>
            </w:r>
            <w:proofErr w:type="gramEnd"/>
          </w:p>
          <w:p w14:paraId="5262B3D2" w14:textId="26A59148" w:rsidR="006B2130" w:rsidRPr="002A49B8" w:rsidRDefault="006B2130" w:rsidP="001F1A5B">
            <w:pPr>
              <w:jc w:val="center"/>
              <w:rPr>
                <w:rFonts w:ascii="Times New Roman" w:hAnsi="Times New Roman" w:cs="Times New Roman"/>
                <w:b w:val="0"/>
                <w:bCs w:val="0"/>
                <w:sz w:val="16"/>
                <w:szCs w:val="16"/>
              </w:rPr>
            </w:pPr>
          </w:p>
        </w:tc>
      </w:tr>
      <w:tr w:rsidR="006B2130" w:rsidRPr="002A49B8" w14:paraId="5FC74AFA" w14:textId="77777777" w:rsidTr="006B2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5"/>
            <w:tcBorders>
              <w:top w:val="single" w:sz="4" w:space="0" w:color="auto"/>
              <w:bottom w:val="nil"/>
            </w:tcBorders>
            <w:shd w:val="clear" w:color="auto" w:fill="E7E6E6" w:themeFill="background2"/>
          </w:tcPr>
          <w:p w14:paraId="67BD2F2A" w14:textId="776227D4" w:rsidR="006B2130" w:rsidRPr="00871C2C" w:rsidRDefault="006B2130" w:rsidP="00871C2C">
            <w:pPr>
              <w:jc w:val="center"/>
              <w:rPr>
                <w:rFonts w:ascii="Times New Roman" w:hAnsi="Times New Roman" w:cs="Times New Roman"/>
                <w:b w:val="0"/>
                <w:bCs w:val="0"/>
                <w:i/>
                <w:iCs/>
                <w:sz w:val="20"/>
                <w:szCs w:val="20"/>
              </w:rPr>
            </w:pPr>
            <w:r w:rsidRPr="00871C2C">
              <w:rPr>
                <w:rFonts w:ascii="Times New Roman" w:hAnsi="Times New Roman" w:cs="Times New Roman"/>
                <w:b w:val="0"/>
                <w:bCs w:val="0"/>
                <w:i/>
                <w:iCs/>
                <w:sz w:val="20"/>
                <w:szCs w:val="20"/>
              </w:rPr>
              <w:t>Number of zip codes that had claims made sub grouped by those that had moratorium in place and those that did not</w:t>
            </w:r>
          </w:p>
        </w:tc>
      </w:tr>
      <w:tr w:rsidR="004415E4" w:rsidRPr="002A49B8" w14:paraId="02EB9D77" w14:textId="77777777" w:rsidTr="006B2130">
        <w:tc>
          <w:tcPr>
            <w:cnfStyle w:val="001000000000" w:firstRow="0" w:lastRow="0" w:firstColumn="1" w:lastColumn="0" w:oddVBand="0" w:evenVBand="0" w:oddHBand="0" w:evenHBand="0" w:firstRowFirstColumn="0" w:firstRowLastColumn="0" w:lastRowFirstColumn="0" w:lastRowLastColumn="0"/>
            <w:tcW w:w="2790" w:type="dxa"/>
            <w:tcBorders>
              <w:top w:val="nil"/>
            </w:tcBorders>
            <w:shd w:val="clear" w:color="auto" w:fill="FFFFFF" w:themeFill="background1"/>
          </w:tcPr>
          <w:p w14:paraId="66D7C8F6" w14:textId="39A9A0AF" w:rsidR="004F4990" w:rsidRPr="00871C2C" w:rsidRDefault="001F1A5B" w:rsidP="004F4990">
            <w:pPr>
              <w:jc w:val="center"/>
              <w:rPr>
                <w:rFonts w:ascii="Times New Roman" w:hAnsi="Times New Roman" w:cs="Times New Roman"/>
                <w:sz w:val="18"/>
                <w:szCs w:val="18"/>
              </w:rPr>
            </w:pPr>
            <w:r w:rsidRPr="00871C2C">
              <w:rPr>
                <w:rFonts w:ascii="Times New Roman" w:hAnsi="Times New Roman" w:cs="Times New Roman"/>
                <w:sz w:val="18"/>
                <w:szCs w:val="18"/>
              </w:rPr>
              <w:t>Insurance Policy Type</w:t>
            </w:r>
          </w:p>
        </w:tc>
        <w:tc>
          <w:tcPr>
            <w:tcW w:w="1530" w:type="dxa"/>
            <w:tcBorders>
              <w:top w:val="nil"/>
            </w:tcBorders>
            <w:shd w:val="clear" w:color="auto" w:fill="FFFFFF" w:themeFill="background1"/>
          </w:tcPr>
          <w:p w14:paraId="5C0313BD" w14:textId="77777777" w:rsidR="004F4990" w:rsidRPr="00871C2C" w:rsidRDefault="004F4990" w:rsidP="004F49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0" w:type="dxa"/>
            <w:tcBorders>
              <w:top w:val="nil"/>
            </w:tcBorders>
            <w:shd w:val="clear" w:color="auto" w:fill="FFFFFF" w:themeFill="background1"/>
            <w:vAlign w:val="center"/>
          </w:tcPr>
          <w:p w14:paraId="7D191525" w14:textId="658F1FF9" w:rsidR="004F4990" w:rsidRPr="00871C2C" w:rsidRDefault="004F4990"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871C2C">
              <w:rPr>
                <w:rFonts w:ascii="Times New Roman" w:hAnsi="Times New Roman" w:cs="Times New Roman"/>
                <w:b/>
                <w:bCs/>
                <w:sz w:val="18"/>
                <w:szCs w:val="18"/>
              </w:rPr>
              <w:t>Homeowner’s policy</w:t>
            </w:r>
          </w:p>
        </w:tc>
        <w:tc>
          <w:tcPr>
            <w:tcW w:w="1710" w:type="dxa"/>
            <w:tcBorders>
              <w:top w:val="nil"/>
            </w:tcBorders>
            <w:shd w:val="clear" w:color="auto" w:fill="FFFFFF" w:themeFill="background1"/>
            <w:vAlign w:val="center"/>
          </w:tcPr>
          <w:p w14:paraId="61968538" w14:textId="3ECA76F6" w:rsidR="004F4990" w:rsidRPr="00871C2C" w:rsidRDefault="004F4990"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871C2C">
              <w:rPr>
                <w:rFonts w:ascii="Times New Roman" w:hAnsi="Times New Roman" w:cs="Times New Roman"/>
                <w:b/>
                <w:bCs/>
                <w:sz w:val="18"/>
                <w:szCs w:val="18"/>
              </w:rPr>
              <w:t>Dwelling Fire Owner-Occupied Policy</w:t>
            </w:r>
          </w:p>
        </w:tc>
        <w:tc>
          <w:tcPr>
            <w:tcW w:w="2250" w:type="dxa"/>
            <w:tcBorders>
              <w:top w:val="nil"/>
            </w:tcBorders>
            <w:shd w:val="clear" w:color="auto" w:fill="FFFFFF" w:themeFill="background1"/>
            <w:vAlign w:val="center"/>
          </w:tcPr>
          <w:p w14:paraId="67820AF7" w14:textId="54D0525B" w:rsidR="004F4990" w:rsidRPr="00871C2C" w:rsidRDefault="004F4990" w:rsidP="002A49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871C2C">
              <w:rPr>
                <w:rFonts w:ascii="Times New Roman" w:hAnsi="Times New Roman" w:cs="Times New Roman"/>
                <w:b/>
                <w:bCs/>
                <w:sz w:val="18"/>
                <w:szCs w:val="18"/>
              </w:rPr>
              <w:t>Dwelling Fire Tenant</w:t>
            </w:r>
            <w:r w:rsidR="006034D5">
              <w:rPr>
                <w:rFonts w:ascii="Times New Roman" w:hAnsi="Times New Roman" w:cs="Times New Roman"/>
                <w:b/>
                <w:bCs/>
                <w:sz w:val="18"/>
                <w:szCs w:val="18"/>
              </w:rPr>
              <w:t>-</w:t>
            </w:r>
            <w:r w:rsidRPr="00871C2C">
              <w:rPr>
                <w:rFonts w:ascii="Times New Roman" w:hAnsi="Times New Roman" w:cs="Times New Roman"/>
                <w:b/>
                <w:bCs/>
                <w:sz w:val="18"/>
                <w:szCs w:val="18"/>
              </w:rPr>
              <w:t>Occupied Policies</w:t>
            </w:r>
          </w:p>
        </w:tc>
      </w:tr>
      <w:tr w:rsidR="00D978E3" w:rsidRPr="002A49B8" w14:paraId="79EEFCAE" w14:textId="77777777" w:rsidTr="006B2130">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790" w:type="dxa"/>
            <w:shd w:val="clear" w:color="auto" w:fill="BFBFBF" w:themeFill="background1" w:themeFillShade="BF"/>
          </w:tcPr>
          <w:p w14:paraId="0A7C6418" w14:textId="77777777" w:rsidR="00D978E3" w:rsidRPr="002A49B8" w:rsidRDefault="00D978E3" w:rsidP="0014225B">
            <w:pPr>
              <w:rPr>
                <w:rFonts w:ascii="Times New Roman" w:hAnsi="Times New Roman" w:cs="Times New Roman"/>
                <w:sz w:val="20"/>
                <w:szCs w:val="20"/>
              </w:rPr>
            </w:pPr>
          </w:p>
        </w:tc>
        <w:tc>
          <w:tcPr>
            <w:tcW w:w="1530" w:type="dxa"/>
            <w:shd w:val="clear" w:color="auto" w:fill="D9D9D9" w:themeFill="background1" w:themeFillShade="D9"/>
          </w:tcPr>
          <w:p w14:paraId="6118A13E" w14:textId="669492BE" w:rsidR="00D978E3" w:rsidRPr="002A49B8" w:rsidRDefault="00D978E3"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Total</w:t>
            </w:r>
          </w:p>
        </w:tc>
        <w:tc>
          <w:tcPr>
            <w:tcW w:w="1440" w:type="dxa"/>
            <w:shd w:val="clear" w:color="auto" w:fill="D9D9D9" w:themeFill="background1" w:themeFillShade="D9"/>
          </w:tcPr>
          <w:p w14:paraId="08EEAE07" w14:textId="6B386D5C" w:rsidR="00D978E3" w:rsidRPr="002A49B8" w:rsidRDefault="00D978E3"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643</w:t>
            </w:r>
          </w:p>
        </w:tc>
        <w:tc>
          <w:tcPr>
            <w:tcW w:w="1710" w:type="dxa"/>
            <w:shd w:val="clear" w:color="auto" w:fill="D9D9D9" w:themeFill="background1" w:themeFillShade="D9"/>
          </w:tcPr>
          <w:p w14:paraId="4797089A" w14:textId="51056581" w:rsidR="00D978E3" w:rsidRPr="002A49B8" w:rsidRDefault="00D978E3"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643</w:t>
            </w:r>
          </w:p>
        </w:tc>
        <w:tc>
          <w:tcPr>
            <w:tcW w:w="2250" w:type="dxa"/>
            <w:shd w:val="clear" w:color="auto" w:fill="D9D9D9" w:themeFill="background1" w:themeFillShade="D9"/>
          </w:tcPr>
          <w:p w14:paraId="0831CF6B" w14:textId="14145D83" w:rsidR="00D978E3" w:rsidRPr="002A49B8" w:rsidRDefault="00D978E3"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643</w:t>
            </w:r>
          </w:p>
        </w:tc>
      </w:tr>
      <w:tr w:rsidR="00D978E3" w:rsidRPr="002A49B8" w14:paraId="373A8AF7" w14:textId="77777777" w:rsidTr="006B2130">
        <w:trPr>
          <w:trHeight w:val="174"/>
        </w:trPr>
        <w:tc>
          <w:tcPr>
            <w:cnfStyle w:val="001000000000" w:firstRow="0" w:lastRow="0" w:firstColumn="1" w:lastColumn="0" w:oddVBand="0" w:evenVBand="0" w:oddHBand="0" w:evenHBand="0" w:firstRowFirstColumn="0" w:firstRowLastColumn="0" w:lastRowFirstColumn="0" w:lastRowLastColumn="0"/>
            <w:tcW w:w="2790" w:type="dxa"/>
            <w:shd w:val="clear" w:color="auto" w:fill="BFBFBF" w:themeFill="background1" w:themeFillShade="BF"/>
          </w:tcPr>
          <w:p w14:paraId="4804D804" w14:textId="13A4797B" w:rsidR="00D978E3" w:rsidRPr="002A49B8" w:rsidRDefault="00D978E3" w:rsidP="0014225B">
            <w:pPr>
              <w:rPr>
                <w:rFonts w:ascii="Times New Roman" w:hAnsi="Times New Roman" w:cs="Times New Roman"/>
                <w:sz w:val="20"/>
                <w:szCs w:val="20"/>
              </w:rPr>
            </w:pPr>
            <w:r>
              <w:rPr>
                <w:rFonts w:ascii="Times New Roman" w:hAnsi="Times New Roman" w:cs="Times New Roman"/>
                <w:sz w:val="20"/>
                <w:szCs w:val="20"/>
              </w:rPr>
              <w:t xml:space="preserve">Any Coverage A or C claims </w:t>
            </w:r>
          </w:p>
        </w:tc>
        <w:tc>
          <w:tcPr>
            <w:tcW w:w="1530" w:type="dxa"/>
            <w:shd w:val="clear" w:color="auto" w:fill="FFFFFF" w:themeFill="background1"/>
          </w:tcPr>
          <w:p w14:paraId="642C8F33" w14:textId="77777777" w:rsidR="00D978E3" w:rsidRDefault="00D978E3" w:rsidP="00D978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 moratorium</w:t>
            </w:r>
          </w:p>
          <w:p w14:paraId="7CDFDB41" w14:textId="16C633B3" w:rsidR="00D978E3" w:rsidRPr="002A49B8" w:rsidRDefault="00D978E3" w:rsidP="00D978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Moratorium</w:t>
            </w:r>
          </w:p>
        </w:tc>
        <w:tc>
          <w:tcPr>
            <w:tcW w:w="1440" w:type="dxa"/>
            <w:shd w:val="clear" w:color="auto" w:fill="FFFFFF" w:themeFill="background1"/>
          </w:tcPr>
          <w:p w14:paraId="48EC20FC" w14:textId="66981153" w:rsidR="00D978E3" w:rsidRDefault="00D978E3"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534</w:t>
            </w:r>
          </w:p>
          <w:p w14:paraId="32EB4998" w14:textId="0CCAAA64" w:rsidR="00D978E3" w:rsidRPr="002A49B8" w:rsidRDefault="00D978E3"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109</w:t>
            </w:r>
          </w:p>
        </w:tc>
        <w:tc>
          <w:tcPr>
            <w:tcW w:w="1710" w:type="dxa"/>
            <w:shd w:val="clear" w:color="auto" w:fill="FFFFFF" w:themeFill="background1"/>
          </w:tcPr>
          <w:p w14:paraId="239885C7" w14:textId="77777777" w:rsidR="00D978E3" w:rsidRDefault="00D978E3"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534</w:t>
            </w:r>
          </w:p>
          <w:p w14:paraId="0773252A" w14:textId="7541828E" w:rsidR="00D978E3" w:rsidRPr="002A49B8" w:rsidRDefault="00D978E3"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109</w:t>
            </w:r>
          </w:p>
        </w:tc>
        <w:tc>
          <w:tcPr>
            <w:tcW w:w="2250" w:type="dxa"/>
            <w:shd w:val="clear" w:color="auto" w:fill="FFFFFF" w:themeFill="background1"/>
          </w:tcPr>
          <w:p w14:paraId="09035C6F" w14:textId="77777777" w:rsidR="00D978E3" w:rsidRDefault="00D978E3"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534</w:t>
            </w:r>
          </w:p>
          <w:p w14:paraId="676560AC" w14:textId="629ECDB5" w:rsidR="00D978E3" w:rsidRPr="002A49B8" w:rsidRDefault="00D978E3"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109</w:t>
            </w:r>
          </w:p>
        </w:tc>
      </w:tr>
      <w:tr w:rsidR="004415E4" w:rsidRPr="002A49B8" w14:paraId="043A4742" w14:textId="77777777" w:rsidTr="006B2130">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790" w:type="dxa"/>
            <w:vMerge w:val="restart"/>
            <w:shd w:val="clear" w:color="auto" w:fill="BFBFBF" w:themeFill="background1" w:themeFillShade="BF"/>
          </w:tcPr>
          <w:p w14:paraId="240488A4" w14:textId="5D7672E5" w:rsidR="004F4990" w:rsidRPr="002A49B8" w:rsidRDefault="004F4990" w:rsidP="0014225B">
            <w:pPr>
              <w:rPr>
                <w:rFonts w:ascii="Times New Roman" w:hAnsi="Times New Roman" w:cs="Times New Roman"/>
                <w:b w:val="0"/>
                <w:bCs w:val="0"/>
                <w:sz w:val="20"/>
                <w:szCs w:val="20"/>
              </w:rPr>
            </w:pPr>
            <w:r w:rsidRPr="002A49B8">
              <w:rPr>
                <w:rFonts w:ascii="Times New Roman" w:hAnsi="Times New Roman" w:cs="Times New Roman"/>
                <w:b w:val="0"/>
                <w:bCs w:val="0"/>
                <w:sz w:val="20"/>
                <w:szCs w:val="20"/>
              </w:rPr>
              <w:t>Non-Catastrophic Coverage A Fire</w:t>
            </w:r>
          </w:p>
        </w:tc>
        <w:tc>
          <w:tcPr>
            <w:tcW w:w="1530" w:type="dxa"/>
            <w:shd w:val="clear" w:color="auto" w:fill="D9D9D9" w:themeFill="background1" w:themeFillShade="D9"/>
          </w:tcPr>
          <w:p w14:paraId="246ABA08" w14:textId="25AA803B"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Total</w:t>
            </w:r>
          </w:p>
        </w:tc>
        <w:tc>
          <w:tcPr>
            <w:tcW w:w="1440" w:type="dxa"/>
            <w:shd w:val="clear" w:color="auto" w:fill="D9D9D9" w:themeFill="background1" w:themeFillShade="D9"/>
          </w:tcPr>
          <w:p w14:paraId="5CFACE13" w14:textId="3399282D"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620</w:t>
            </w:r>
          </w:p>
        </w:tc>
        <w:tc>
          <w:tcPr>
            <w:tcW w:w="1710" w:type="dxa"/>
            <w:shd w:val="clear" w:color="auto" w:fill="D9D9D9" w:themeFill="background1" w:themeFillShade="D9"/>
          </w:tcPr>
          <w:p w14:paraId="1CC09F39" w14:textId="365BE742"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147</w:t>
            </w:r>
          </w:p>
        </w:tc>
        <w:tc>
          <w:tcPr>
            <w:tcW w:w="2250" w:type="dxa"/>
            <w:shd w:val="clear" w:color="auto" w:fill="D9D9D9" w:themeFill="background1" w:themeFillShade="D9"/>
          </w:tcPr>
          <w:p w14:paraId="24A90BE6" w14:textId="665AEAF1"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295</w:t>
            </w:r>
          </w:p>
        </w:tc>
      </w:tr>
      <w:tr w:rsidR="004415E4" w:rsidRPr="002A49B8" w14:paraId="4917AEFA" w14:textId="77777777" w:rsidTr="006B2130">
        <w:trPr>
          <w:trHeight w:val="173"/>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6BF0E36D"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1351D066" w14:textId="33EA560D" w:rsidR="004F4990" w:rsidRPr="002A49B8" w:rsidRDefault="004F4990" w:rsidP="001422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No Moratorium</w:t>
            </w:r>
          </w:p>
        </w:tc>
        <w:tc>
          <w:tcPr>
            <w:tcW w:w="1440" w:type="dxa"/>
            <w:shd w:val="clear" w:color="auto" w:fill="auto"/>
          </w:tcPr>
          <w:p w14:paraId="44B4A003" w14:textId="45377B3B" w:rsidR="004F4990" w:rsidRPr="002A49B8"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534</w:t>
            </w:r>
          </w:p>
        </w:tc>
        <w:tc>
          <w:tcPr>
            <w:tcW w:w="1710" w:type="dxa"/>
            <w:shd w:val="clear" w:color="auto" w:fill="auto"/>
          </w:tcPr>
          <w:p w14:paraId="606B6D74" w14:textId="57A8B232" w:rsidR="004F4990" w:rsidRPr="002A49B8" w:rsidRDefault="0014225B"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108</w:t>
            </w:r>
          </w:p>
        </w:tc>
        <w:tc>
          <w:tcPr>
            <w:tcW w:w="2250" w:type="dxa"/>
            <w:shd w:val="clear" w:color="auto" w:fill="auto"/>
          </w:tcPr>
          <w:p w14:paraId="1452D73B" w14:textId="2342AE50" w:rsidR="004F4990" w:rsidRPr="002A49B8" w:rsidRDefault="00270197"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260</w:t>
            </w:r>
          </w:p>
        </w:tc>
      </w:tr>
      <w:tr w:rsidR="004F4990" w:rsidRPr="002A49B8" w14:paraId="6F7A7C10" w14:textId="77777777" w:rsidTr="006B2130">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1679649C"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4A1579AE" w14:textId="31AF3EDF" w:rsidR="004F4990" w:rsidRPr="002A49B8" w:rsidRDefault="004F4990" w:rsidP="001422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Moratorium</w:t>
            </w:r>
          </w:p>
        </w:tc>
        <w:tc>
          <w:tcPr>
            <w:tcW w:w="1440" w:type="dxa"/>
            <w:shd w:val="clear" w:color="auto" w:fill="auto"/>
          </w:tcPr>
          <w:p w14:paraId="34E9ED37" w14:textId="27C509B0"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86</w:t>
            </w:r>
          </w:p>
        </w:tc>
        <w:tc>
          <w:tcPr>
            <w:tcW w:w="1710" w:type="dxa"/>
            <w:shd w:val="clear" w:color="auto" w:fill="auto"/>
          </w:tcPr>
          <w:p w14:paraId="0D3E2B21" w14:textId="70E6F67E" w:rsidR="004F4990" w:rsidRPr="002A49B8" w:rsidRDefault="0014225B"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39</w:t>
            </w:r>
          </w:p>
        </w:tc>
        <w:tc>
          <w:tcPr>
            <w:tcW w:w="2250" w:type="dxa"/>
            <w:shd w:val="clear" w:color="auto" w:fill="auto"/>
          </w:tcPr>
          <w:p w14:paraId="250943CB" w14:textId="3FABFD53" w:rsidR="004F4990" w:rsidRPr="002A49B8" w:rsidRDefault="00270197"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35</w:t>
            </w:r>
          </w:p>
        </w:tc>
      </w:tr>
      <w:tr w:rsidR="0014225B" w:rsidRPr="002A49B8" w14:paraId="634CABEC" w14:textId="77777777" w:rsidTr="006B2130">
        <w:trPr>
          <w:trHeight w:val="167"/>
        </w:trPr>
        <w:tc>
          <w:tcPr>
            <w:cnfStyle w:val="001000000000" w:firstRow="0" w:lastRow="0" w:firstColumn="1" w:lastColumn="0" w:oddVBand="0" w:evenVBand="0" w:oddHBand="0" w:evenHBand="0" w:firstRowFirstColumn="0" w:firstRowLastColumn="0" w:lastRowFirstColumn="0" w:lastRowLastColumn="0"/>
            <w:tcW w:w="2790" w:type="dxa"/>
            <w:vMerge w:val="restart"/>
            <w:shd w:val="clear" w:color="auto" w:fill="BFBFBF" w:themeFill="background1" w:themeFillShade="BF"/>
          </w:tcPr>
          <w:p w14:paraId="4ACC5424" w14:textId="10ACEEF6" w:rsidR="004F4990" w:rsidRPr="002A49B8" w:rsidRDefault="004F4990" w:rsidP="0014225B">
            <w:pPr>
              <w:rPr>
                <w:rFonts w:ascii="Times New Roman" w:hAnsi="Times New Roman" w:cs="Times New Roman"/>
                <w:b w:val="0"/>
                <w:bCs w:val="0"/>
                <w:sz w:val="20"/>
                <w:szCs w:val="20"/>
              </w:rPr>
            </w:pPr>
            <w:r w:rsidRPr="002A49B8">
              <w:rPr>
                <w:rFonts w:ascii="Times New Roman" w:hAnsi="Times New Roman" w:cs="Times New Roman"/>
                <w:b w:val="0"/>
                <w:bCs w:val="0"/>
                <w:sz w:val="20"/>
                <w:szCs w:val="20"/>
              </w:rPr>
              <w:t>Non-Catastrophic Coverage A Smoke</w:t>
            </w:r>
          </w:p>
        </w:tc>
        <w:tc>
          <w:tcPr>
            <w:tcW w:w="1530" w:type="dxa"/>
            <w:shd w:val="clear" w:color="auto" w:fill="D9D9D9" w:themeFill="background1" w:themeFillShade="D9"/>
          </w:tcPr>
          <w:p w14:paraId="2905524B" w14:textId="596CC73E" w:rsidR="004F4990" w:rsidRPr="002A49B8"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Total</w:t>
            </w:r>
          </w:p>
        </w:tc>
        <w:tc>
          <w:tcPr>
            <w:tcW w:w="1440" w:type="dxa"/>
            <w:shd w:val="clear" w:color="auto" w:fill="D9D9D9" w:themeFill="background1" w:themeFillShade="D9"/>
          </w:tcPr>
          <w:p w14:paraId="1BC4C684" w14:textId="584B4EBC" w:rsidR="004F4990" w:rsidRPr="002A49B8"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120</w:t>
            </w:r>
          </w:p>
        </w:tc>
        <w:tc>
          <w:tcPr>
            <w:tcW w:w="1710" w:type="dxa"/>
            <w:shd w:val="clear" w:color="auto" w:fill="D9D9D9" w:themeFill="background1" w:themeFillShade="D9"/>
          </w:tcPr>
          <w:p w14:paraId="67007CD5" w14:textId="4DA16298" w:rsidR="004F4990" w:rsidRPr="00A77A42"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4</w:t>
            </w:r>
          </w:p>
        </w:tc>
        <w:tc>
          <w:tcPr>
            <w:tcW w:w="2250" w:type="dxa"/>
            <w:shd w:val="clear" w:color="auto" w:fill="D9D9D9" w:themeFill="background1" w:themeFillShade="D9"/>
          </w:tcPr>
          <w:p w14:paraId="18C1F124" w14:textId="46A19FBA" w:rsidR="004F4990" w:rsidRPr="00A77A42"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18</w:t>
            </w:r>
          </w:p>
        </w:tc>
      </w:tr>
      <w:tr w:rsidR="004F4990" w:rsidRPr="002A49B8" w14:paraId="390FAAEA" w14:textId="77777777" w:rsidTr="006B2130">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061199C2"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6C44484B" w14:textId="0E773CCF" w:rsidR="004F4990" w:rsidRPr="002A49B8" w:rsidRDefault="004F4990" w:rsidP="001422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No Moratorium</w:t>
            </w:r>
          </w:p>
        </w:tc>
        <w:tc>
          <w:tcPr>
            <w:tcW w:w="1440" w:type="dxa"/>
            <w:shd w:val="clear" w:color="auto" w:fill="auto"/>
          </w:tcPr>
          <w:p w14:paraId="12965485" w14:textId="29CFE10C"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85</w:t>
            </w:r>
          </w:p>
        </w:tc>
        <w:tc>
          <w:tcPr>
            <w:tcW w:w="1710" w:type="dxa"/>
            <w:shd w:val="clear" w:color="auto" w:fill="auto"/>
          </w:tcPr>
          <w:p w14:paraId="2C351BC1" w14:textId="7EF3F77F" w:rsidR="004F4990" w:rsidRPr="00A77A42" w:rsidRDefault="0014225B"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4</w:t>
            </w:r>
          </w:p>
        </w:tc>
        <w:tc>
          <w:tcPr>
            <w:tcW w:w="2250" w:type="dxa"/>
            <w:shd w:val="clear" w:color="auto" w:fill="auto"/>
          </w:tcPr>
          <w:p w14:paraId="0C767FC0" w14:textId="3E1D3BA4" w:rsidR="004F4990" w:rsidRPr="00A77A42" w:rsidRDefault="00270197"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16</w:t>
            </w:r>
          </w:p>
        </w:tc>
      </w:tr>
      <w:tr w:rsidR="004415E4" w:rsidRPr="002A49B8" w14:paraId="3DC41CF0" w14:textId="77777777" w:rsidTr="006B2130">
        <w:trPr>
          <w:trHeight w:val="166"/>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7F958470"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2606C9B4" w14:textId="039E5EB4" w:rsidR="004F4990" w:rsidRPr="002A49B8" w:rsidRDefault="004F4990" w:rsidP="001422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Moratorium</w:t>
            </w:r>
          </w:p>
        </w:tc>
        <w:tc>
          <w:tcPr>
            <w:tcW w:w="1440" w:type="dxa"/>
            <w:shd w:val="clear" w:color="auto" w:fill="auto"/>
          </w:tcPr>
          <w:p w14:paraId="6D74D262" w14:textId="37BA6AC6" w:rsidR="004F4990" w:rsidRPr="002A49B8"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35</w:t>
            </w:r>
          </w:p>
        </w:tc>
        <w:tc>
          <w:tcPr>
            <w:tcW w:w="1710" w:type="dxa"/>
            <w:shd w:val="clear" w:color="auto" w:fill="auto"/>
          </w:tcPr>
          <w:p w14:paraId="35B7EB32" w14:textId="706ABC11" w:rsidR="004F4990" w:rsidRPr="00A77A42" w:rsidRDefault="0014225B"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0</w:t>
            </w:r>
          </w:p>
        </w:tc>
        <w:tc>
          <w:tcPr>
            <w:tcW w:w="2250" w:type="dxa"/>
            <w:shd w:val="clear" w:color="auto" w:fill="auto"/>
          </w:tcPr>
          <w:p w14:paraId="6BC69EB9" w14:textId="5025F812" w:rsidR="004F4990" w:rsidRPr="00A77A42" w:rsidRDefault="00270197"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2</w:t>
            </w:r>
          </w:p>
        </w:tc>
      </w:tr>
      <w:tr w:rsidR="006B2130" w:rsidRPr="002A49B8" w14:paraId="335DB884" w14:textId="77777777" w:rsidTr="006B213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790" w:type="dxa"/>
            <w:vMerge w:val="restart"/>
            <w:shd w:val="clear" w:color="auto" w:fill="BFBFBF" w:themeFill="background1" w:themeFillShade="BF"/>
          </w:tcPr>
          <w:p w14:paraId="0F6C5F45" w14:textId="1DEA4182" w:rsidR="004F4990" w:rsidRPr="002A49B8" w:rsidRDefault="004F4990" w:rsidP="0014225B">
            <w:pPr>
              <w:rPr>
                <w:rFonts w:ascii="Times New Roman" w:hAnsi="Times New Roman" w:cs="Times New Roman"/>
                <w:b w:val="0"/>
                <w:bCs w:val="0"/>
                <w:sz w:val="20"/>
                <w:szCs w:val="20"/>
              </w:rPr>
            </w:pPr>
            <w:r w:rsidRPr="002A49B8">
              <w:rPr>
                <w:rFonts w:ascii="Times New Roman" w:hAnsi="Times New Roman" w:cs="Times New Roman"/>
                <w:b w:val="0"/>
                <w:bCs w:val="0"/>
                <w:sz w:val="20"/>
                <w:szCs w:val="20"/>
              </w:rPr>
              <w:t>Non-Catastrophic Coverage C Fire</w:t>
            </w:r>
          </w:p>
        </w:tc>
        <w:tc>
          <w:tcPr>
            <w:tcW w:w="1530" w:type="dxa"/>
            <w:shd w:val="clear" w:color="auto" w:fill="D9D9D9" w:themeFill="background1" w:themeFillShade="D9"/>
          </w:tcPr>
          <w:p w14:paraId="52461076" w14:textId="459F2570"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Total</w:t>
            </w:r>
          </w:p>
        </w:tc>
        <w:tc>
          <w:tcPr>
            <w:tcW w:w="1440" w:type="dxa"/>
            <w:shd w:val="clear" w:color="auto" w:fill="D9D9D9" w:themeFill="background1" w:themeFillShade="D9"/>
          </w:tcPr>
          <w:p w14:paraId="4B8F8812" w14:textId="10C76DCF"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547</w:t>
            </w:r>
          </w:p>
        </w:tc>
        <w:tc>
          <w:tcPr>
            <w:tcW w:w="1710" w:type="dxa"/>
            <w:shd w:val="clear" w:color="auto" w:fill="D9D9D9" w:themeFill="background1" w:themeFillShade="D9"/>
          </w:tcPr>
          <w:p w14:paraId="5C64089B" w14:textId="25BA5EDC" w:rsidR="004F4990" w:rsidRPr="00A77A42"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83</w:t>
            </w:r>
          </w:p>
        </w:tc>
        <w:tc>
          <w:tcPr>
            <w:tcW w:w="2250" w:type="dxa"/>
            <w:shd w:val="clear" w:color="auto" w:fill="D9D9D9" w:themeFill="background1" w:themeFillShade="D9"/>
          </w:tcPr>
          <w:p w14:paraId="04AB1BFF" w14:textId="473973BC" w:rsidR="004F4990" w:rsidRPr="00A77A42"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112</w:t>
            </w:r>
          </w:p>
        </w:tc>
      </w:tr>
      <w:tr w:rsidR="004415E4" w:rsidRPr="002A49B8" w14:paraId="0E8BD1CA" w14:textId="77777777" w:rsidTr="006B2130">
        <w:trPr>
          <w:trHeight w:val="166"/>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32B3DDC2"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394F2954" w14:textId="1FE37FC5" w:rsidR="004F4990" w:rsidRPr="002A49B8" w:rsidRDefault="004F4990" w:rsidP="001422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No Moratorium</w:t>
            </w:r>
          </w:p>
        </w:tc>
        <w:tc>
          <w:tcPr>
            <w:tcW w:w="1440" w:type="dxa"/>
            <w:shd w:val="clear" w:color="auto" w:fill="auto"/>
          </w:tcPr>
          <w:p w14:paraId="2CF14ACB" w14:textId="40BCEC81" w:rsidR="004F4990" w:rsidRPr="002A49B8"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469</w:t>
            </w:r>
          </w:p>
        </w:tc>
        <w:tc>
          <w:tcPr>
            <w:tcW w:w="1710" w:type="dxa"/>
            <w:shd w:val="clear" w:color="auto" w:fill="auto"/>
          </w:tcPr>
          <w:p w14:paraId="3FCF07F7" w14:textId="1E6C214F" w:rsidR="004F4990" w:rsidRPr="00A77A42" w:rsidRDefault="004415E4"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62</w:t>
            </w:r>
          </w:p>
        </w:tc>
        <w:tc>
          <w:tcPr>
            <w:tcW w:w="2250" w:type="dxa"/>
            <w:shd w:val="clear" w:color="auto" w:fill="auto"/>
          </w:tcPr>
          <w:p w14:paraId="04716DBE" w14:textId="098066DF" w:rsidR="004F4990" w:rsidRPr="00A77A42" w:rsidRDefault="00270197"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99</w:t>
            </w:r>
          </w:p>
        </w:tc>
      </w:tr>
      <w:tr w:rsidR="004F4990" w:rsidRPr="002A49B8" w14:paraId="577B0DA2" w14:textId="77777777" w:rsidTr="006B2130">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5418BFE1"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5485F4CD" w14:textId="2CD7E6C2" w:rsidR="004F4990" w:rsidRPr="002A49B8" w:rsidRDefault="004F4990" w:rsidP="001422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Moratorium</w:t>
            </w:r>
          </w:p>
        </w:tc>
        <w:tc>
          <w:tcPr>
            <w:tcW w:w="1440" w:type="dxa"/>
            <w:shd w:val="clear" w:color="auto" w:fill="auto"/>
          </w:tcPr>
          <w:p w14:paraId="320D430D" w14:textId="47963640"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78</w:t>
            </w:r>
          </w:p>
        </w:tc>
        <w:tc>
          <w:tcPr>
            <w:tcW w:w="1710" w:type="dxa"/>
            <w:shd w:val="clear" w:color="auto" w:fill="auto"/>
          </w:tcPr>
          <w:p w14:paraId="41D216C0" w14:textId="3D5E336F" w:rsidR="004F4990" w:rsidRPr="00A77A42" w:rsidRDefault="004415E4"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21</w:t>
            </w:r>
          </w:p>
        </w:tc>
        <w:tc>
          <w:tcPr>
            <w:tcW w:w="2250" w:type="dxa"/>
            <w:shd w:val="clear" w:color="auto" w:fill="auto"/>
          </w:tcPr>
          <w:p w14:paraId="33BF931A" w14:textId="644BE7B4" w:rsidR="004F4990" w:rsidRPr="00A77A42" w:rsidRDefault="00270197"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13</w:t>
            </w:r>
          </w:p>
        </w:tc>
      </w:tr>
      <w:tr w:rsidR="0014225B" w:rsidRPr="002A49B8" w14:paraId="3007662A" w14:textId="77777777" w:rsidTr="006B2130">
        <w:trPr>
          <w:trHeight w:val="167"/>
        </w:trPr>
        <w:tc>
          <w:tcPr>
            <w:cnfStyle w:val="001000000000" w:firstRow="0" w:lastRow="0" w:firstColumn="1" w:lastColumn="0" w:oddVBand="0" w:evenVBand="0" w:oddHBand="0" w:evenHBand="0" w:firstRowFirstColumn="0" w:firstRowLastColumn="0" w:lastRowFirstColumn="0" w:lastRowLastColumn="0"/>
            <w:tcW w:w="2790" w:type="dxa"/>
            <w:vMerge w:val="restart"/>
            <w:shd w:val="clear" w:color="auto" w:fill="BFBFBF" w:themeFill="background1" w:themeFillShade="BF"/>
          </w:tcPr>
          <w:p w14:paraId="5A321B1C" w14:textId="06C04065" w:rsidR="004F4990" w:rsidRPr="002A49B8" w:rsidRDefault="004F4990" w:rsidP="0014225B">
            <w:pPr>
              <w:rPr>
                <w:rFonts w:ascii="Times New Roman" w:hAnsi="Times New Roman" w:cs="Times New Roman"/>
                <w:b w:val="0"/>
                <w:bCs w:val="0"/>
                <w:sz w:val="20"/>
                <w:szCs w:val="20"/>
              </w:rPr>
            </w:pPr>
            <w:r w:rsidRPr="002A49B8">
              <w:rPr>
                <w:rFonts w:ascii="Times New Roman" w:hAnsi="Times New Roman" w:cs="Times New Roman"/>
                <w:b w:val="0"/>
                <w:bCs w:val="0"/>
                <w:sz w:val="20"/>
                <w:szCs w:val="20"/>
              </w:rPr>
              <w:t>Non-Catastrophic Coverage C Smoke</w:t>
            </w:r>
          </w:p>
        </w:tc>
        <w:tc>
          <w:tcPr>
            <w:tcW w:w="1530" w:type="dxa"/>
            <w:shd w:val="clear" w:color="auto" w:fill="D9D9D9" w:themeFill="background1" w:themeFillShade="D9"/>
          </w:tcPr>
          <w:p w14:paraId="44247CAE" w14:textId="1A61B8F7" w:rsidR="004F4990" w:rsidRPr="002A49B8"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Total</w:t>
            </w:r>
          </w:p>
        </w:tc>
        <w:tc>
          <w:tcPr>
            <w:tcW w:w="1440" w:type="dxa"/>
            <w:shd w:val="clear" w:color="auto" w:fill="D9D9D9" w:themeFill="background1" w:themeFillShade="D9"/>
          </w:tcPr>
          <w:p w14:paraId="4F46F6E2" w14:textId="29DD0B6E" w:rsidR="004F4990" w:rsidRPr="002A49B8"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79</w:t>
            </w:r>
          </w:p>
        </w:tc>
        <w:tc>
          <w:tcPr>
            <w:tcW w:w="1710" w:type="dxa"/>
            <w:shd w:val="clear" w:color="auto" w:fill="D9D9D9" w:themeFill="background1" w:themeFillShade="D9"/>
          </w:tcPr>
          <w:p w14:paraId="707A23A6" w14:textId="1762B4C9" w:rsidR="004F4990" w:rsidRPr="00A77A42"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2</w:t>
            </w:r>
          </w:p>
        </w:tc>
        <w:tc>
          <w:tcPr>
            <w:tcW w:w="2250" w:type="dxa"/>
            <w:shd w:val="clear" w:color="auto" w:fill="D9D9D9" w:themeFill="background1" w:themeFillShade="D9"/>
          </w:tcPr>
          <w:p w14:paraId="18B6988F" w14:textId="38C66367" w:rsidR="004F4990" w:rsidRPr="00A77A42"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3</w:t>
            </w:r>
          </w:p>
        </w:tc>
      </w:tr>
      <w:tr w:rsidR="004F4990" w:rsidRPr="002A49B8" w14:paraId="6C942752" w14:textId="77777777" w:rsidTr="006B2130">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13C465A8"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707C8DFC" w14:textId="7F9B6860" w:rsidR="004F4990" w:rsidRPr="002A49B8" w:rsidRDefault="004F4990" w:rsidP="001422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No Moratorium</w:t>
            </w:r>
          </w:p>
        </w:tc>
        <w:tc>
          <w:tcPr>
            <w:tcW w:w="1440" w:type="dxa"/>
            <w:shd w:val="clear" w:color="auto" w:fill="auto"/>
          </w:tcPr>
          <w:p w14:paraId="755FDFF9" w14:textId="5CE959A6"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56</w:t>
            </w:r>
          </w:p>
        </w:tc>
        <w:tc>
          <w:tcPr>
            <w:tcW w:w="1710" w:type="dxa"/>
            <w:shd w:val="clear" w:color="auto" w:fill="auto"/>
          </w:tcPr>
          <w:p w14:paraId="7A205528" w14:textId="35469B1B" w:rsidR="004F4990" w:rsidRPr="00A77A42" w:rsidRDefault="004415E4"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2</w:t>
            </w:r>
          </w:p>
        </w:tc>
        <w:tc>
          <w:tcPr>
            <w:tcW w:w="2250" w:type="dxa"/>
            <w:shd w:val="clear" w:color="auto" w:fill="auto"/>
          </w:tcPr>
          <w:p w14:paraId="456FC98E" w14:textId="1DF73508" w:rsidR="004F4990" w:rsidRPr="00A77A42" w:rsidRDefault="00270197"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3</w:t>
            </w:r>
          </w:p>
        </w:tc>
      </w:tr>
      <w:tr w:rsidR="004415E4" w:rsidRPr="002A49B8" w14:paraId="254E18AB" w14:textId="77777777" w:rsidTr="006B2130">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2D29F3FB"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3D81C045" w14:textId="5A236C5C" w:rsidR="004F4990" w:rsidRPr="002A49B8" w:rsidRDefault="004F4990" w:rsidP="001422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Moratorium</w:t>
            </w:r>
          </w:p>
        </w:tc>
        <w:tc>
          <w:tcPr>
            <w:tcW w:w="1440" w:type="dxa"/>
            <w:shd w:val="clear" w:color="auto" w:fill="auto"/>
          </w:tcPr>
          <w:p w14:paraId="35B9F9F9" w14:textId="20999D6B" w:rsidR="004F4990" w:rsidRPr="002A49B8"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A49B8">
              <w:rPr>
                <w:rFonts w:ascii="Times New Roman" w:hAnsi="Times New Roman" w:cs="Times New Roman"/>
                <w:sz w:val="18"/>
                <w:szCs w:val="18"/>
              </w:rPr>
              <w:t>23</w:t>
            </w:r>
          </w:p>
        </w:tc>
        <w:tc>
          <w:tcPr>
            <w:tcW w:w="1710" w:type="dxa"/>
            <w:shd w:val="clear" w:color="auto" w:fill="auto"/>
          </w:tcPr>
          <w:p w14:paraId="3AB7964E" w14:textId="70B9389E" w:rsidR="004F4990" w:rsidRPr="00A77A42" w:rsidRDefault="004415E4"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1</w:t>
            </w:r>
          </w:p>
        </w:tc>
        <w:tc>
          <w:tcPr>
            <w:tcW w:w="2250" w:type="dxa"/>
            <w:shd w:val="clear" w:color="auto" w:fill="auto"/>
          </w:tcPr>
          <w:p w14:paraId="300E07CD" w14:textId="2FBA3A57" w:rsidR="004F4990" w:rsidRPr="00A77A42" w:rsidRDefault="00270197"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0</w:t>
            </w:r>
          </w:p>
        </w:tc>
      </w:tr>
      <w:tr w:rsidR="006B2130" w:rsidRPr="002A49B8" w14:paraId="7D327FB7" w14:textId="77777777" w:rsidTr="006B2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Merge w:val="restart"/>
            <w:shd w:val="clear" w:color="auto" w:fill="BFBFBF" w:themeFill="background1" w:themeFillShade="BF"/>
          </w:tcPr>
          <w:p w14:paraId="42D43903" w14:textId="59EE86C8" w:rsidR="004F4990" w:rsidRPr="002A49B8" w:rsidRDefault="004F4990" w:rsidP="0014225B">
            <w:pPr>
              <w:rPr>
                <w:rFonts w:ascii="Times New Roman" w:hAnsi="Times New Roman" w:cs="Times New Roman"/>
                <w:b w:val="0"/>
                <w:bCs w:val="0"/>
                <w:sz w:val="20"/>
                <w:szCs w:val="20"/>
              </w:rPr>
            </w:pPr>
            <w:r w:rsidRPr="002A49B8">
              <w:rPr>
                <w:rFonts w:ascii="Times New Roman" w:hAnsi="Times New Roman" w:cs="Times New Roman"/>
                <w:b w:val="0"/>
                <w:bCs w:val="0"/>
                <w:sz w:val="20"/>
                <w:szCs w:val="20"/>
              </w:rPr>
              <w:t>Catastrophic Coverage A Fire</w:t>
            </w:r>
          </w:p>
        </w:tc>
        <w:tc>
          <w:tcPr>
            <w:tcW w:w="1530" w:type="dxa"/>
            <w:shd w:val="clear" w:color="auto" w:fill="D9D9D9" w:themeFill="background1" w:themeFillShade="D9"/>
          </w:tcPr>
          <w:p w14:paraId="3289C54B" w14:textId="7D243E55"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Total</w:t>
            </w:r>
          </w:p>
        </w:tc>
        <w:tc>
          <w:tcPr>
            <w:tcW w:w="1440" w:type="dxa"/>
            <w:shd w:val="clear" w:color="auto" w:fill="D9D9D9" w:themeFill="background1" w:themeFillShade="D9"/>
          </w:tcPr>
          <w:p w14:paraId="629BEE25" w14:textId="6B918CD8" w:rsidR="004F4990" w:rsidRPr="006034D5"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34D5">
              <w:rPr>
                <w:rFonts w:ascii="Times New Roman" w:hAnsi="Times New Roman" w:cs="Times New Roman"/>
                <w:sz w:val="18"/>
                <w:szCs w:val="18"/>
              </w:rPr>
              <w:t>90</w:t>
            </w:r>
          </w:p>
        </w:tc>
        <w:tc>
          <w:tcPr>
            <w:tcW w:w="1710" w:type="dxa"/>
            <w:shd w:val="clear" w:color="auto" w:fill="D9D9D9" w:themeFill="background1" w:themeFillShade="D9"/>
          </w:tcPr>
          <w:p w14:paraId="130BFB47" w14:textId="240353CD" w:rsidR="004F4990" w:rsidRPr="00A77A42"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27</w:t>
            </w:r>
          </w:p>
        </w:tc>
        <w:tc>
          <w:tcPr>
            <w:tcW w:w="2250" w:type="dxa"/>
            <w:shd w:val="clear" w:color="auto" w:fill="D9D9D9" w:themeFill="background1" w:themeFillShade="D9"/>
          </w:tcPr>
          <w:p w14:paraId="4DB3939B" w14:textId="107D6C64" w:rsidR="004F4990" w:rsidRPr="00A77A42"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43</w:t>
            </w:r>
          </w:p>
        </w:tc>
      </w:tr>
      <w:tr w:rsidR="004415E4" w:rsidRPr="002A49B8" w14:paraId="2ABAD60C" w14:textId="77777777" w:rsidTr="006B2130">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750620AD"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65196E33" w14:textId="0B5E9A8C" w:rsidR="004F4990" w:rsidRPr="002A49B8" w:rsidRDefault="004F4990" w:rsidP="001422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No Moratorium</w:t>
            </w:r>
          </w:p>
        </w:tc>
        <w:tc>
          <w:tcPr>
            <w:tcW w:w="1440" w:type="dxa"/>
            <w:shd w:val="clear" w:color="auto" w:fill="auto"/>
          </w:tcPr>
          <w:p w14:paraId="07208FC0" w14:textId="526A8718" w:rsidR="004F4990" w:rsidRPr="006034D5" w:rsidRDefault="0014225B"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34D5">
              <w:rPr>
                <w:rFonts w:ascii="Times New Roman" w:hAnsi="Times New Roman" w:cs="Times New Roman"/>
                <w:sz w:val="18"/>
                <w:szCs w:val="18"/>
              </w:rPr>
              <w:t>47</w:t>
            </w:r>
          </w:p>
        </w:tc>
        <w:tc>
          <w:tcPr>
            <w:tcW w:w="1710" w:type="dxa"/>
            <w:shd w:val="clear" w:color="auto" w:fill="auto"/>
          </w:tcPr>
          <w:p w14:paraId="073778D1" w14:textId="2AC7C4EE" w:rsidR="004F4990" w:rsidRPr="00A77A42" w:rsidRDefault="004415E4"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7</w:t>
            </w:r>
          </w:p>
        </w:tc>
        <w:tc>
          <w:tcPr>
            <w:tcW w:w="2250" w:type="dxa"/>
            <w:shd w:val="clear" w:color="auto" w:fill="auto"/>
          </w:tcPr>
          <w:p w14:paraId="7622A903" w14:textId="575BBC0F" w:rsidR="004F4990" w:rsidRPr="00A77A42" w:rsidRDefault="00270197"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26</w:t>
            </w:r>
          </w:p>
        </w:tc>
      </w:tr>
      <w:tr w:rsidR="004F4990" w:rsidRPr="002A49B8" w14:paraId="0BB55972" w14:textId="77777777" w:rsidTr="006B2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50E69BDF"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39F6AC94" w14:textId="4008A50A" w:rsidR="004F4990" w:rsidRPr="002A49B8" w:rsidRDefault="004F4990" w:rsidP="001422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Moratorium</w:t>
            </w:r>
          </w:p>
        </w:tc>
        <w:tc>
          <w:tcPr>
            <w:tcW w:w="1440" w:type="dxa"/>
            <w:shd w:val="clear" w:color="auto" w:fill="auto"/>
          </w:tcPr>
          <w:p w14:paraId="47477931" w14:textId="6B507541" w:rsidR="004F4990" w:rsidRPr="006034D5" w:rsidRDefault="0014225B"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34D5">
              <w:rPr>
                <w:rFonts w:ascii="Times New Roman" w:hAnsi="Times New Roman" w:cs="Times New Roman"/>
                <w:sz w:val="18"/>
                <w:szCs w:val="18"/>
              </w:rPr>
              <w:t>43</w:t>
            </w:r>
          </w:p>
        </w:tc>
        <w:tc>
          <w:tcPr>
            <w:tcW w:w="1710" w:type="dxa"/>
            <w:shd w:val="clear" w:color="auto" w:fill="auto"/>
          </w:tcPr>
          <w:p w14:paraId="1C0114F6" w14:textId="7C05C8DA" w:rsidR="004F4990" w:rsidRPr="00A77A42" w:rsidRDefault="004415E4"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20</w:t>
            </w:r>
          </w:p>
        </w:tc>
        <w:tc>
          <w:tcPr>
            <w:tcW w:w="2250" w:type="dxa"/>
            <w:shd w:val="clear" w:color="auto" w:fill="auto"/>
          </w:tcPr>
          <w:p w14:paraId="708DD1C5" w14:textId="05C57929" w:rsidR="004F4990" w:rsidRPr="00A77A42" w:rsidRDefault="00270197"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17</w:t>
            </w:r>
          </w:p>
        </w:tc>
      </w:tr>
      <w:tr w:rsidR="0014225B" w:rsidRPr="002A49B8" w14:paraId="16DA68D6" w14:textId="77777777" w:rsidTr="006B2130">
        <w:tc>
          <w:tcPr>
            <w:cnfStyle w:val="001000000000" w:firstRow="0" w:lastRow="0" w:firstColumn="1" w:lastColumn="0" w:oddVBand="0" w:evenVBand="0" w:oddHBand="0" w:evenHBand="0" w:firstRowFirstColumn="0" w:firstRowLastColumn="0" w:lastRowFirstColumn="0" w:lastRowLastColumn="0"/>
            <w:tcW w:w="2790" w:type="dxa"/>
            <w:vMerge w:val="restart"/>
            <w:shd w:val="clear" w:color="auto" w:fill="BFBFBF" w:themeFill="background1" w:themeFillShade="BF"/>
          </w:tcPr>
          <w:p w14:paraId="3BCC469D" w14:textId="6688C84A" w:rsidR="004F4990" w:rsidRPr="002A49B8" w:rsidRDefault="004F4990" w:rsidP="0014225B">
            <w:pPr>
              <w:rPr>
                <w:rFonts w:ascii="Times New Roman" w:hAnsi="Times New Roman" w:cs="Times New Roman"/>
                <w:b w:val="0"/>
                <w:bCs w:val="0"/>
                <w:sz w:val="20"/>
                <w:szCs w:val="20"/>
              </w:rPr>
            </w:pPr>
            <w:r w:rsidRPr="002A49B8">
              <w:rPr>
                <w:rFonts w:ascii="Times New Roman" w:hAnsi="Times New Roman" w:cs="Times New Roman"/>
                <w:b w:val="0"/>
                <w:bCs w:val="0"/>
                <w:sz w:val="20"/>
                <w:szCs w:val="20"/>
              </w:rPr>
              <w:t>Catastrophic Coverage A Smoke</w:t>
            </w:r>
          </w:p>
        </w:tc>
        <w:tc>
          <w:tcPr>
            <w:tcW w:w="1530" w:type="dxa"/>
            <w:shd w:val="clear" w:color="auto" w:fill="D9D9D9" w:themeFill="background1" w:themeFillShade="D9"/>
          </w:tcPr>
          <w:p w14:paraId="35E106A6" w14:textId="4B2A05F4" w:rsidR="004F4990" w:rsidRPr="002A49B8"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Total</w:t>
            </w:r>
          </w:p>
        </w:tc>
        <w:tc>
          <w:tcPr>
            <w:tcW w:w="1440" w:type="dxa"/>
            <w:shd w:val="clear" w:color="auto" w:fill="D9D9D9" w:themeFill="background1" w:themeFillShade="D9"/>
          </w:tcPr>
          <w:p w14:paraId="26BDD5D8" w14:textId="7A711940" w:rsidR="004F4990" w:rsidRPr="006034D5"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34D5">
              <w:rPr>
                <w:rFonts w:ascii="Times New Roman" w:hAnsi="Times New Roman" w:cs="Times New Roman"/>
                <w:sz w:val="18"/>
                <w:szCs w:val="18"/>
              </w:rPr>
              <w:t>59</w:t>
            </w:r>
          </w:p>
        </w:tc>
        <w:tc>
          <w:tcPr>
            <w:tcW w:w="1710" w:type="dxa"/>
            <w:shd w:val="clear" w:color="auto" w:fill="D9D9D9" w:themeFill="background1" w:themeFillShade="D9"/>
          </w:tcPr>
          <w:p w14:paraId="5BC18D05" w14:textId="5FB45DE3" w:rsidR="004F4990" w:rsidRPr="00A77A42"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25</w:t>
            </w:r>
          </w:p>
        </w:tc>
        <w:tc>
          <w:tcPr>
            <w:tcW w:w="2250" w:type="dxa"/>
            <w:shd w:val="clear" w:color="auto" w:fill="D9D9D9" w:themeFill="background1" w:themeFillShade="D9"/>
          </w:tcPr>
          <w:p w14:paraId="2B4BD295" w14:textId="663BB8ED" w:rsidR="004F4990" w:rsidRPr="00A77A42"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30</w:t>
            </w:r>
          </w:p>
        </w:tc>
      </w:tr>
      <w:tr w:rsidR="004F4990" w:rsidRPr="002A49B8" w14:paraId="119F107A" w14:textId="77777777" w:rsidTr="006B2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11BA9B40"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3EE2B214" w14:textId="23141E8B" w:rsidR="004F4990" w:rsidRPr="002A49B8" w:rsidRDefault="004F4990" w:rsidP="001422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No Moratorium</w:t>
            </w:r>
          </w:p>
        </w:tc>
        <w:tc>
          <w:tcPr>
            <w:tcW w:w="1440" w:type="dxa"/>
            <w:shd w:val="clear" w:color="auto" w:fill="auto"/>
          </w:tcPr>
          <w:p w14:paraId="19D67C37" w14:textId="789E312A" w:rsidR="004F4990" w:rsidRPr="006034D5" w:rsidRDefault="0014225B"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34D5">
              <w:rPr>
                <w:rFonts w:ascii="Times New Roman" w:hAnsi="Times New Roman" w:cs="Times New Roman"/>
                <w:sz w:val="18"/>
                <w:szCs w:val="18"/>
              </w:rPr>
              <w:t>22</w:t>
            </w:r>
          </w:p>
        </w:tc>
        <w:tc>
          <w:tcPr>
            <w:tcW w:w="1710" w:type="dxa"/>
            <w:shd w:val="clear" w:color="auto" w:fill="auto"/>
          </w:tcPr>
          <w:p w14:paraId="54680061" w14:textId="6567C6AF" w:rsidR="004F4990" w:rsidRPr="00A77A42" w:rsidRDefault="004415E4"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6</w:t>
            </w:r>
          </w:p>
        </w:tc>
        <w:tc>
          <w:tcPr>
            <w:tcW w:w="2250" w:type="dxa"/>
            <w:shd w:val="clear" w:color="auto" w:fill="auto"/>
          </w:tcPr>
          <w:p w14:paraId="34E35E22" w14:textId="263953E9" w:rsidR="004F4990" w:rsidRPr="00A77A42" w:rsidRDefault="00270197"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10</w:t>
            </w:r>
          </w:p>
        </w:tc>
      </w:tr>
      <w:tr w:rsidR="004415E4" w:rsidRPr="002A49B8" w14:paraId="6B2C3F51" w14:textId="77777777" w:rsidTr="006B2130">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67DB8958" w14:textId="15397C10"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6C30E954" w14:textId="36E8AAC6" w:rsidR="004F4990" w:rsidRPr="002A49B8" w:rsidRDefault="004F4990" w:rsidP="001422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Moratorium</w:t>
            </w:r>
          </w:p>
        </w:tc>
        <w:tc>
          <w:tcPr>
            <w:tcW w:w="1440" w:type="dxa"/>
            <w:shd w:val="clear" w:color="auto" w:fill="auto"/>
          </w:tcPr>
          <w:p w14:paraId="2B743F17" w14:textId="746261FF" w:rsidR="004F4990" w:rsidRPr="006034D5" w:rsidRDefault="0014225B"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34D5">
              <w:rPr>
                <w:rFonts w:ascii="Times New Roman" w:hAnsi="Times New Roman" w:cs="Times New Roman"/>
                <w:sz w:val="18"/>
                <w:szCs w:val="18"/>
              </w:rPr>
              <w:t>37</w:t>
            </w:r>
          </w:p>
        </w:tc>
        <w:tc>
          <w:tcPr>
            <w:tcW w:w="1710" w:type="dxa"/>
            <w:shd w:val="clear" w:color="auto" w:fill="auto"/>
          </w:tcPr>
          <w:p w14:paraId="25A52DB3" w14:textId="69DD2F2D" w:rsidR="004F4990" w:rsidRPr="00A77A42" w:rsidRDefault="004415E4"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19</w:t>
            </w:r>
          </w:p>
        </w:tc>
        <w:tc>
          <w:tcPr>
            <w:tcW w:w="2250" w:type="dxa"/>
            <w:shd w:val="clear" w:color="auto" w:fill="auto"/>
          </w:tcPr>
          <w:p w14:paraId="4CD6E56C" w14:textId="466C67E5" w:rsidR="004F4990" w:rsidRPr="00A77A42" w:rsidRDefault="00270197"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20</w:t>
            </w:r>
          </w:p>
        </w:tc>
      </w:tr>
      <w:tr w:rsidR="006B2130" w:rsidRPr="002A49B8" w14:paraId="33CFB363" w14:textId="77777777" w:rsidTr="006B2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Merge w:val="restart"/>
            <w:shd w:val="clear" w:color="auto" w:fill="BFBFBF" w:themeFill="background1" w:themeFillShade="BF"/>
          </w:tcPr>
          <w:p w14:paraId="312DA7AA" w14:textId="67E9D5FF" w:rsidR="004F4990" w:rsidRPr="002A49B8" w:rsidRDefault="004F4990" w:rsidP="0014225B">
            <w:pPr>
              <w:rPr>
                <w:rFonts w:ascii="Times New Roman" w:hAnsi="Times New Roman" w:cs="Times New Roman"/>
                <w:b w:val="0"/>
                <w:bCs w:val="0"/>
                <w:sz w:val="20"/>
                <w:szCs w:val="20"/>
              </w:rPr>
            </w:pPr>
            <w:r w:rsidRPr="002A49B8">
              <w:rPr>
                <w:rFonts w:ascii="Times New Roman" w:hAnsi="Times New Roman" w:cs="Times New Roman"/>
                <w:b w:val="0"/>
                <w:bCs w:val="0"/>
                <w:sz w:val="20"/>
                <w:szCs w:val="20"/>
              </w:rPr>
              <w:t>Catastrophic Coverage C Fire</w:t>
            </w:r>
          </w:p>
        </w:tc>
        <w:tc>
          <w:tcPr>
            <w:tcW w:w="1530" w:type="dxa"/>
            <w:shd w:val="clear" w:color="auto" w:fill="D9D9D9" w:themeFill="background1" w:themeFillShade="D9"/>
          </w:tcPr>
          <w:p w14:paraId="3F85E86B" w14:textId="20A73CB2" w:rsidR="004F4990" w:rsidRPr="002A49B8"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Total</w:t>
            </w:r>
          </w:p>
        </w:tc>
        <w:tc>
          <w:tcPr>
            <w:tcW w:w="1440" w:type="dxa"/>
            <w:shd w:val="clear" w:color="auto" w:fill="D9D9D9" w:themeFill="background1" w:themeFillShade="D9"/>
          </w:tcPr>
          <w:p w14:paraId="0F322B8A" w14:textId="3E706ED8" w:rsidR="004F4990" w:rsidRPr="006034D5"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34D5">
              <w:rPr>
                <w:rFonts w:ascii="Times New Roman" w:hAnsi="Times New Roman" w:cs="Times New Roman"/>
                <w:sz w:val="18"/>
                <w:szCs w:val="18"/>
              </w:rPr>
              <w:t>71</w:t>
            </w:r>
          </w:p>
        </w:tc>
        <w:tc>
          <w:tcPr>
            <w:tcW w:w="1710" w:type="dxa"/>
            <w:shd w:val="clear" w:color="auto" w:fill="D9D9D9" w:themeFill="background1" w:themeFillShade="D9"/>
          </w:tcPr>
          <w:p w14:paraId="12BCF85F" w14:textId="3B54E33C" w:rsidR="004F4990" w:rsidRPr="00A77A42"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19</w:t>
            </w:r>
          </w:p>
        </w:tc>
        <w:tc>
          <w:tcPr>
            <w:tcW w:w="2250" w:type="dxa"/>
            <w:shd w:val="clear" w:color="auto" w:fill="D9D9D9" w:themeFill="background1" w:themeFillShade="D9"/>
          </w:tcPr>
          <w:p w14:paraId="76910091" w14:textId="0468FD50" w:rsidR="004F4990" w:rsidRPr="00A77A42" w:rsidRDefault="004F4990"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15</w:t>
            </w:r>
          </w:p>
        </w:tc>
      </w:tr>
      <w:tr w:rsidR="004415E4" w:rsidRPr="002A49B8" w14:paraId="7C8DAC48" w14:textId="77777777" w:rsidTr="006B2130">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571B24B5"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475C0D11" w14:textId="39AEC05C" w:rsidR="004F4990" w:rsidRPr="002A49B8" w:rsidRDefault="004F4990" w:rsidP="001422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No Moratorium</w:t>
            </w:r>
          </w:p>
        </w:tc>
        <w:tc>
          <w:tcPr>
            <w:tcW w:w="1440" w:type="dxa"/>
            <w:shd w:val="clear" w:color="auto" w:fill="auto"/>
          </w:tcPr>
          <w:p w14:paraId="316E32CC" w14:textId="4EF9086C" w:rsidR="004F4990" w:rsidRPr="006034D5" w:rsidRDefault="0014225B"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034D5">
              <w:rPr>
                <w:rFonts w:ascii="Times New Roman" w:hAnsi="Times New Roman" w:cs="Times New Roman"/>
                <w:sz w:val="18"/>
                <w:szCs w:val="18"/>
              </w:rPr>
              <w:t>35</w:t>
            </w:r>
          </w:p>
        </w:tc>
        <w:tc>
          <w:tcPr>
            <w:tcW w:w="1710" w:type="dxa"/>
            <w:shd w:val="clear" w:color="auto" w:fill="auto"/>
          </w:tcPr>
          <w:p w14:paraId="6B9F8BFB" w14:textId="28EFCEA3" w:rsidR="004F4990" w:rsidRPr="00A77A42" w:rsidRDefault="004415E4"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4</w:t>
            </w:r>
          </w:p>
        </w:tc>
        <w:tc>
          <w:tcPr>
            <w:tcW w:w="2250" w:type="dxa"/>
            <w:shd w:val="clear" w:color="auto" w:fill="auto"/>
          </w:tcPr>
          <w:p w14:paraId="62CA0E26" w14:textId="667DBD7A" w:rsidR="004F4990" w:rsidRPr="00A77A42" w:rsidRDefault="00270197"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6</w:t>
            </w:r>
          </w:p>
        </w:tc>
      </w:tr>
      <w:tr w:rsidR="004F4990" w:rsidRPr="002A49B8" w14:paraId="3774BAA4" w14:textId="77777777" w:rsidTr="006B2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7DE221C9"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67372849" w14:textId="7EC2ABDA" w:rsidR="004F4990" w:rsidRPr="002A49B8" w:rsidRDefault="004F4990" w:rsidP="001422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Moratorium</w:t>
            </w:r>
          </w:p>
        </w:tc>
        <w:tc>
          <w:tcPr>
            <w:tcW w:w="1440" w:type="dxa"/>
            <w:shd w:val="clear" w:color="auto" w:fill="auto"/>
          </w:tcPr>
          <w:p w14:paraId="4A11538F" w14:textId="57B06623" w:rsidR="004F4990" w:rsidRPr="006034D5" w:rsidRDefault="0014225B"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034D5">
              <w:rPr>
                <w:rFonts w:ascii="Times New Roman" w:hAnsi="Times New Roman" w:cs="Times New Roman"/>
                <w:sz w:val="18"/>
                <w:szCs w:val="18"/>
              </w:rPr>
              <w:t>36</w:t>
            </w:r>
          </w:p>
        </w:tc>
        <w:tc>
          <w:tcPr>
            <w:tcW w:w="1710" w:type="dxa"/>
            <w:shd w:val="clear" w:color="auto" w:fill="auto"/>
          </w:tcPr>
          <w:p w14:paraId="15BF6307" w14:textId="7EBA3AFD" w:rsidR="004F4990" w:rsidRPr="00A77A42" w:rsidRDefault="004415E4"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15</w:t>
            </w:r>
          </w:p>
        </w:tc>
        <w:tc>
          <w:tcPr>
            <w:tcW w:w="2250" w:type="dxa"/>
            <w:shd w:val="clear" w:color="auto" w:fill="auto"/>
          </w:tcPr>
          <w:p w14:paraId="6A46C15B" w14:textId="26FAA7A7" w:rsidR="004F4990" w:rsidRPr="00A77A42" w:rsidRDefault="00270197"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9</w:t>
            </w:r>
          </w:p>
        </w:tc>
      </w:tr>
      <w:tr w:rsidR="0014225B" w:rsidRPr="002A49B8" w14:paraId="4E78BA40" w14:textId="77777777" w:rsidTr="006B2130">
        <w:tc>
          <w:tcPr>
            <w:cnfStyle w:val="001000000000" w:firstRow="0" w:lastRow="0" w:firstColumn="1" w:lastColumn="0" w:oddVBand="0" w:evenVBand="0" w:oddHBand="0" w:evenHBand="0" w:firstRowFirstColumn="0" w:firstRowLastColumn="0" w:lastRowFirstColumn="0" w:lastRowLastColumn="0"/>
            <w:tcW w:w="2790" w:type="dxa"/>
            <w:vMerge w:val="restart"/>
            <w:shd w:val="clear" w:color="auto" w:fill="BFBFBF" w:themeFill="background1" w:themeFillShade="BF"/>
          </w:tcPr>
          <w:p w14:paraId="2539774B" w14:textId="5EAAE6AB" w:rsidR="004F4990" w:rsidRPr="002A49B8" w:rsidRDefault="004F4990" w:rsidP="0014225B">
            <w:pPr>
              <w:rPr>
                <w:rFonts w:ascii="Times New Roman" w:hAnsi="Times New Roman" w:cs="Times New Roman"/>
                <w:b w:val="0"/>
                <w:bCs w:val="0"/>
                <w:sz w:val="20"/>
                <w:szCs w:val="20"/>
              </w:rPr>
            </w:pPr>
            <w:r w:rsidRPr="002A49B8">
              <w:rPr>
                <w:rFonts w:ascii="Times New Roman" w:hAnsi="Times New Roman" w:cs="Times New Roman"/>
                <w:b w:val="0"/>
                <w:bCs w:val="0"/>
                <w:sz w:val="20"/>
                <w:szCs w:val="20"/>
              </w:rPr>
              <w:t>Catastrophic Coverage C Smoke</w:t>
            </w:r>
          </w:p>
        </w:tc>
        <w:tc>
          <w:tcPr>
            <w:tcW w:w="1530" w:type="dxa"/>
            <w:shd w:val="clear" w:color="auto" w:fill="D9D9D9" w:themeFill="background1" w:themeFillShade="D9"/>
          </w:tcPr>
          <w:p w14:paraId="28A24606" w14:textId="446A7BA9" w:rsidR="004F4990" w:rsidRPr="002A49B8"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Total</w:t>
            </w:r>
          </w:p>
        </w:tc>
        <w:tc>
          <w:tcPr>
            <w:tcW w:w="1440" w:type="dxa"/>
            <w:shd w:val="clear" w:color="auto" w:fill="D9D9D9" w:themeFill="background1" w:themeFillShade="D9"/>
          </w:tcPr>
          <w:p w14:paraId="74651C7C" w14:textId="28325C1A" w:rsidR="004F4990" w:rsidRPr="00D62AAA"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62AAA">
              <w:rPr>
                <w:rFonts w:ascii="Times New Roman" w:hAnsi="Times New Roman" w:cs="Times New Roman"/>
                <w:sz w:val="18"/>
                <w:szCs w:val="18"/>
              </w:rPr>
              <w:t>33</w:t>
            </w:r>
          </w:p>
        </w:tc>
        <w:tc>
          <w:tcPr>
            <w:tcW w:w="1710" w:type="dxa"/>
            <w:shd w:val="clear" w:color="auto" w:fill="D9D9D9" w:themeFill="background1" w:themeFillShade="D9"/>
          </w:tcPr>
          <w:p w14:paraId="6602A5C0" w14:textId="486E0B20" w:rsidR="004F4990" w:rsidRPr="00A77A42"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5</w:t>
            </w:r>
          </w:p>
        </w:tc>
        <w:tc>
          <w:tcPr>
            <w:tcW w:w="2250" w:type="dxa"/>
            <w:shd w:val="clear" w:color="auto" w:fill="D9D9D9" w:themeFill="background1" w:themeFillShade="D9"/>
          </w:tcPr>
          <w:p w14:paraId="0E9D9563" w14:textId="28548667" w:rsidR="004F4990" w:rsidRPr="00A77A42" w:rsidRDefault="004F4990"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0</w:t>
            </w:r>
          </w:p>
        </w:tc>
      </w:tr>
      <w:tr w:rsidR="004F4990" w:rsidRPr="002A49B8" w14:paraId="46DC6573" w14:textId="77777777" w:rsidTr="006B2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35DA8E73"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1C97B4E9" w14:textId="747DC36F" w:rsidR="004F4990" w:rsidRPr="002A49B8" w:rsidRDefault="004F4990" w:rsidP="001422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No Moratorium</w:t>
            </w:r>
          </w:p>
        </w:tc>
        <w:tc>
          <w:tcPr>
            <w:tcW w:w="1440" w:type="dxa"/>
            <w:shd w:val="clear" w:color="auto" w:fill="auto"/>
          </w:tcPr>
          <w:p w14:paraId="03040E0A" w14:textId="37FF1FE6" w:rsidR="004F4990" w:rsidRPr="00D62AAA" w:rsidRDefault="0014225B"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62AAA">
              <w:rPr>
                <w:rFonts w:ascii="Times New Roman" w:hAnsi="Times New Roman" w:cs="Times New Roman"/>
                <w:sz w:val="18"/>
                <w:szCs w:val="18"/>
              </w:rPr>
              <w:t>7</w:t>
            </w:r>
          </w:p>
        </w:tc>
        <w:tc>
          <w:tcPr>
            <w:tcW w:w="1710" w:type="dxa"/>
            <w:shd w:val="clear" w:color="auto" w:fill="auto"/>
          </w:tcPr>
          <w:p w14:paraId="4D9B3C5F" w14:textId="2B01222A" w:rsidR="004F4990" w:rsidRPr="00A77A42" w:rsidRDefault="00270197"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0</w:t>
            </w:r>
          </w:p>
        </w:tc>
        <w:tc>
          <w:tcPr>
            <w:tcW w:w="2250" w:type="dxa"/>
            <w:shd w:val="clear" w:color="auto" w:fill="auto"/>
          </w:tcPr>
          <w:p w14:paraId="5767DED5" w14:textId="78FE7374" w:rsidR="004F4990" w:rsidRPr="00A77A42" w:rsidRDefault="00270197" w:rsidP="001422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77A42">
              <w:rPr>
                <w:rFonts w:ascii="Times New Roman" w:hAnsi="Times New Roman" w:cs="Times New Roman"/>
                <w:sz w:val="18"/>
                <w:szCs w:val="18"/>
              </w:rPr>
              <w:t>-</w:t>
            </w:r>
          </w:p>
        </w:tc>
      </w:tr>
      <w:tr w:rsidR="004415E4" w:rsidRPr="002A49B8" w14:paraId="6B66EA71" w14:textId="77777777" w:rsidTr="006B2130">
        <w:tc>
          <w:tcPr>
            <w:cnfStyle w:val="001000000000" w:firstRow="0" w:lastRow="0" w:firstColumn="1" w:lastColumn="0" w:oddVBand="0" w:evenVBand="0" w:oddHBand="0" w:evenHBand="0" w:firstRowFirstColumn="0" w:firstRowLastColumn="0" w:lastRowFirstColumn="0" w:lastRowLastColumn="0"/>
            <w:tcW w:w="2790" w:type="dxa"/>
            <w:vMerge/>
            <w:shd w:val="clear" w:color="auto" w:fill="BFBFBF" w:themeFill="background1" w:themeFillShade="BF"/>
          </w:tcPr>
          <w:p w14:paraId="22FA4FE3" w14:textId="77777777" w:rsidR="004F4990" w:rsidRPr="002A49B8" w:rsidRDefault="004F4990" w:rsidP="0014225B">
            <w:pPr>
              <w:rPr>
                <w:rFonts w:ascii="Times New Roman" w:hAnsi="Times New Roman" w:cs="Times New Roman"/>
                <w:b w:val="0"/>
                <w:bCs w:val="0"/>
                <w:sz w:val="20"/>
                <w:szCs w:val="20"/>
              </w:rPr>
            </w:pPr>
          </w:p>
        </w:tc>
        <w:tc>
          <w:tcPr>
            <w:tcW w:w="1530" w:type="dxa"/>
            <w:shd w:val="clear" w:color="auto" w:fill="auto"/>
          </w:tcPr>
          <w:p w14:paraId="77D77787" w14:textId="0E77C937" w:rsidR="004F4990" w:rsidRPr="002A49B8" w:rsidRDefault="004F4990" w:rsidP="001422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49B8">
              <w:rPr>
                <w:rFonts w:ascii="Times New Roman" w:hAnsi="Times New Roman" w:cs="Times New Roman"/>
                <w:sz w:val="20"/>
                <w:szCs w:val="20"/>
              </w:rPr>
              <w:t>Moratorium</w:t>
            </w:r>
          </w:p>
        </w:tc>
        <w:tc>
          <w:tcPr>
            <w:tcW w:w="1440" w:type="dxa"/>
            <w:shd w:val="clear" w:color="auto" w:fill="auto"/>
          </w:tcPr>
          <w:p w14:paraId="20115B80" w14:textId="42364B9A" w:rsidR="004F4990" w:rsidRPr="00D62AAA" w:rsidRDefault="0014225B"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2AAA">
              <w:rPr>
                <w:rFonts w:ascii="Times New Roman" w:hAnsi="Times New Roman" w:cs="Times New Roman"/>
                <w:sz w:val="20"/>
                <w:szCs w:val="20"/>
              </w:rPr>
              <w:t>26</w:t>
            </w:r>
          </w:p>
        </w:tc>
        <w:tc>
          <w:tcPr>
            <w:tcW w:w="1710" w:type="dxa"/>
            <w:shd w:val="clear" w:color="auto" w:fill="auto"/>
          </w:tcPr>
          <w:p w14:paraId="54EFEEBA" w14:textId="449BE085" w:rsidR="004F4990" w:rsidRPr="00A77A42" w:rsidRDefault="00270197"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7A42">
              <w:rPr>
                <w:rFonts w:ascii="Times New Roman" w:hAnsi="Times New Roman" w:cs="Times New Roman"/>
                <w:sz w:val="20"/>
                <w:szCs w:val="20"/>
              </w:rPr>
              <w:t>5</w:t>
            </w:r>
          </w:p>
        </w:tc>
        <w:tc>
          <w:tcPr>
            <w:tcW w:w="2250" w:type="dxa"/>
            <w:shd w:val="clear" w:color="auto" w:fill="auto"/>
          </w:tcPr>
          <w:p w14:paraId="13A63C60" w14:textId="54A01569" w:rsidR="004F4990" w:rsidRPr="00A77A42" w:rsidRDefault="00270197" w:rsidP="001422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77A42">
              <w:rPr>
                <w:rFonts w:ascii="Times New Roman" w:hAnsi="Times New Roman" w:cs="Times New Roman"/>
                <w:sz w:val="20"/>
                <w:szCs w:val="20"/>
              </w:rPr>
              <w:t>-</w:t>
            </w:r>
          </w:p>
        </w:tc>
      </w:tr>
    </w:tbl>
    <w:p w14:paraId="29F022CA" w14:textId="77777777" w:rsidR="00606485" w:rsidRDefault="00606485" w:rsidP="00341F69">
      <w:pPr>
        <w:rPr>
          <w:rFonts w:ascii="Times New Roman" w:hAnsi="Times New Roman" w:cs="Times New Roman"/>
          <w:sz w:val="22"/>
          <w:szCs w:val="22"/>
        </w:rPr>
      </w:pPr>
    </w:p>
    <w:p w14:paraId="7220DAAF" w14:textId="40236BEC" w:rsidR="00490442" w:rsidRPr="00CB1248" w:rsidRDefault="006034D5" w:rsidP="00341F69">
      <w:pPr>
        <w:rPr>
          <w:rFonts w:ascii="Times New Roman" w:hAnsi="Times New Roman" w:cs="Times New Roman"/>
          <w:sz w:val="22"/>
          <w:szCs w:val="22"/>
        </w:rPr>
      </w:pPr>
      <w:r>
        <w:rPr>
          <w:rFonts w:ascii="Times New Roman" w:hAnsi="Times New Roman" w:cs="Times New Roman"/>
          <w:sz w:val="22"/>
          <w:szCs w:val="22"/>
        </w:rPr>
        <w:t xml:space="preserve">Given the </w:t>
      </w:r>
      <w:r w:rsidR="00341F69">
        <w:rPr>
          <w:rFonts w:ascii="Times New Roman" w:hAnsi="Times New Roman" w:cs="Times New Roman"/>
          <w:sz w:val="22"/>
          <w:szCs w:val="22"/>
        </w:rPr>
        <w:t>small number of zip-codes corresponding to some of the above policy categories, the paper excludes results from all catastrophic d</w:t>
      </w:r>
      <w:r w:rsidR="00341F69" w:rsidRPr="00341F69">
        <w:rPr>
          <w:rFonts w:ascii="Times New Roman" w:hAnsi="Times New Roman" w:cs="Times New Roman"/>
          <w:sz w:val="22"/>
          <w:szCs w:val="22"/>
        </w:rPr>
        <w:t xml:space="preserve">welling </w:t>
      </w:r>
      <w:r w:rsidR="00341F69">
        <w:rPr>
          <w:rFonts w:ascii="Times New Roman" w:hAnsi="Times New Roman" w:cs="Times New Roman"/>
          <w:sz w:val="22"/>
          <w:szCs w:val="22"/>
        </w:rPr>
        <w:t>fire insurance claims made for o</w:t>
      </w:r>
      <w:r w:rsidR="00341F69" w:rsidRPr="00341F69">
        <w:rPr>
          <w:rFonts w:ascii="Times New Roman" w:hAnsi="Times New Roman" w:cs="Times New Roman"/>
          <w:sz w:val="22"/>
          <w:szCs w:val="22"/>
        </w:rPr>
        <w:t>wner-</w:t>
      </w:r>
      <w:r w:rsidR="00341F69">
        <w:rPr>
          <w:rFonts w:ascii="Times New Roman" w:hAnsi="Times New Roman" w:cs="Times New Roman"/>
          <w:sz w:val="22"/>
          <w:szCs w:val="22"/>
        </w:rPr>
        <w:t>o</w:t>
      </w:r>
      <w:r w:rsidR="00341F69" w:rsidRPr="00341F69">
        <w:rPr>
          <w:rFonts w:ascii="Times New Roman" w:hAnsi="Times New Roman" w:cs="Times New Roman"/>
          <w:sz w:val="22"/>
          <w:szCs w:val="22"/>
        </w:rPr>
        <w:t>ccupied</w:t>
      </w:r>
      <w:r w:rsidR="00341F69">
        <w:rPr>
          <w:rFonts w:ascii="Times New Roman" w:hAnsi="Times New Roman" w:cs="Times New Roman"/>
          <w:sz w:val="22"/>
          <w:szCs w:val="22"/>
        </w:rPr>
        <w:t xml:space="preserve"> policies and claims made for non-catastrophic fire-related </w:t>
      </w:r>
      <w:r w:rsidR="004845AF">
        <w:rPr>
          <w:rFonts w:ascii="Times New Roman" w:hAnsi="Times New Roman" w:cs="Times New Roman"/>
          <w:sz w:val="22"/>
          <w:szCs w:val="22"/>
        </w:rPr>
        <w:t xml:space="preserve">structural </w:t>
      </w:r>
      <w:r w:rsidR="00341F69">
        <w:rPr>
          <w:rFonts w:ascii="Times New Roman" w:hAnsi="Times New Roman" w:cs="Times New Roman"/>
          <w:sz w:val="22"/>
          <w:szCs w:val="22"/>
        </w:rPr>
        <w:t>smoke-damage in owner-occupied dwellings. For tenant-occupied dwellings,</w:t>
      </w:r>
      <w:r w:rsidR="004845AF">
        <w:rPr>
          <w:rFonts w:ascii="Times New Roman" w:hAnsi="Times New Roman" w:cs="Times New Roman"/>
          <w:sz w:val="22"/>
          <w:szCs w:val="22"/>
        </w:rPr>
        <w:t xml:space="preserve"> only results pertaining to</w:t>
      </w:r>
      <w:r w:rsidR="00490442">
        <w:rPr>
          <w:rFonts w:ascii="Times New Roman" w:hAnsi="Times New Roman" w:cs="Times New Roman"/>
          <w:sz w:val="22"/>
          <w:szCs w:val="22"/>
        </w:rPr>
        <w:t xml:space="preserve"> claims made from</w:t>
      </w:r>
      <w:r w:rsidR="004845AF">
        <w:rPr>
          <w:rFonts w:ascii="Times New Roman" w:hAnsi="Times New Roman" w:cs="Times New Roman"/>
          <w:sz w:val="22"/>
          <w:szCs w:val="22"/>
        </w:rPr>
        <w:t xml:space="preserve"> </w:t>
      </w:r>
      <w:r w:rsidR="00490442">
        <w:rPr>
          <w:rFonts w:ascii="Times New Roman" w:hAnsi="Times New Roman" w:cs="Times New Roman"/>
          <w:sz w:val="22"/>
          <w:szCs w:val="22"/>
        </w:rPr>
        <w:t xml:space="preserve">policies that related to </w:t>
      </w:r>
      <w:r w:rsidR="004845AF">
        <w:rPr>
          <w:rFonts w:ascii="Times New Roman" w:hAnsi="Times New Roman" w:cs="Times New Roman"/>
          <w:sz w:val="22"/>
          <w:szCs w:val="22"/>
        </w:rPr>
        <w:t xml:space="preserve">non-catastrophic and catastrophic fire damage to structures and </w:t>
      </w:r>
      <w:r w:rsidR="00490442">
        <w:rPr>
          <w:rFonts w:ascii="Times New Roman" w:hAnsi="Times New Roman" w:cs="Times New Roman"/>
          <w:sz w:val="22"/>
          <w:szCs w:val="22"/>
        </w:rPr>
        <w:t>non-</w:t>
      </w:r>
      <w:r w:rsidR="004845AF">
        <w:rPr>
          <w:rFonts w:ascii="Times New Roman" w:hAnsi="Times New Roman" w:cs="Times New Roman"/>
          <w:sz w:val="22"/>
          <w:szCs w:val="22"/>
        </w:rPr>
        <w:t xml:space="preserve">catastrophic fire damage to </w:t>
      </w:r>
      <w:r w:rsidR="00490442">
        <w:rPr>
          <w:rFonts w:ascii="Times New Roman" w:hAnsi="Times New Roman" w:cs="Times New Roman"/>
          <w:sz w:val="22"/>
          <w:szCs w:val="22"/>
        </w:rPr>
        <w:t>properties are included.</w:t>
      </w:r>
    </w:p>
    <w:p w14:paraId="51E2BEB5" w14:textId="77777777" w:rsidR="00CB1248" w:rsidRDefault="00CB1248" w:rsidP="00DA6A0A">
      <w:pPr>
        <w:jc w:val="both"/>
        <w:rPr>
          <w:rFonts w:ascii="Times New Roman" w:hAnsi="Times New Roman" w:cs="Times New Roman"/>
          <w:sz w:val="22"/>
          <w:szCs w:val="22"/>
          <w:u w:val="single"/>
        </w:rPr>
      </w:pPr>
    </w:p>
    <w:p w14:paraId="2EFBCD31" w14:textId="2522C1A3" w:rsidR="004E2408" w:rsidRPr="004E2408" w:rsidRDefault="004E2408" w:rsidP="00DA6A0A">
      <w:pPr>
        <w:jc w:val="both"/>
        <w:rPr>
          <w:rFonts w:ascii="Times New Roman" w:hAnsi="Times New Roman" w:cs="Times New Roman"/>
          <w:sz w:val="22"/>
          <w:szCs w:val="22"/>
        </w:rPr>
      </w:pPr>
      <w:r>
        <w:rPr>
          <w:rFonts w:ascii="Times New Roman" w:hAnsi="Times New Roman" w:cs="Times New Roman"/>
          <w:sz w:val="22"/>
          <w:szCs w:val="22"/>
        </w:rPr>
        <w:t>Figure 1 shows the zip-codes where claims were made for fire insurance policy types covering property or structural damage for homeowner’s and dwelling fire policies. The green dots show zip-codes that did not have any moratorium on non-renewal of insurance in place, while the red dots maps zip-codes that did have the moratorium in place in 2019 (corresponding to the first row) from Table 3.</w:t>
      </w:r>
    </w:p>
    <w:p w14:paraId="15B6ED92" w14:textId="77777777" w:rsidR="004E2408" w:rsidRDefault="004E2408" w:rsidP="00074D16">
      <w:pPr>
        <w:keepNext/>
        <w:jc w:val="center"/>
      </w:pPr>
      <w:r>
        <w:rPr>
          <w:rFonts w:ascii="Times New Roman" w:hAnsi="Times New Roman" w:cs="Times New Roman"/>
          <w:noProof/>
          <w:sz w:val="22"/>
          <w:szCs w:val="22"/>
          <w:u w:val="single"/>
        </w:rPr>
        <w:lastRenderedPageBreak/>
        <w:drawing>
          <wp:inline distT="0" distB="0" distL="0" distR="0" wp14:anchorId="15ED45DA" wp14:editId="09DF62C6">
            <wp:extent cx="3404103" cy="4244582"/>
            <wp:effectExtent l="0" t="0" r="0" b="0"/>
            <wp:docPr id="1869990567" name="Picture 1" descr="A map of a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990567" name="Picture 1" descr="A map of a country&#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0139" cy="4326922"/>
                    </a:xfrm>
                    <a:prstGeom prst="rect">
                      <a:avLst/>
                    </a:prstGeom>
                  </pic:spPr>
                </pic:pic>
              </a:graphicData>
            </a:graphic>
          </wp:inline>
        </w:drawing>
      </w:r>
    </w:p>
    <w:p w14:paraId="550ACDC1" w14:textId="11E36A66" w:rsidR="004E2408" w:rsidRDefault="004E2408" w:rsidP="00074D16">
      <w:pPr>
        <w:pStyle w:val="Caption"/>
        <w:jc w:val="center"/>
        <w:rPr>
          <w:rFonts w:ascii="Times New Roman" w:hAnsi="Times New Roman" w:cs="Times New Roman"/>
          <w:sz w:val="22"/>
          <w:szCs w:val="22"/>
          <w:u w:val="single"/>
        </w:rPr>
      </w:pPr>
      <w:r>
        <w:t xml:space="preserve">Figure </w:t>
      </w:r>
      <w:r>
        <w:fldChar w:fldCharType="begin"/>
      </w:r>
      <w:r>
        <w:instrText xml:space="preserve"> SEQ Figure \* ARABIC </w:instrText>
      </w:r>
      <w:r>
        <w:fldChar w:fldCharType="separate"/>
      </w:r>
      <w:r>
        <w:rPr>
          <w:noProof/>
        </w:rPr>
        <w:t>1</w:t>
      </w:r>
      <w:r>
        <w:fldChar w:fldCharType="end"/>
      </w:r>
      <w:r>
        <w:t>: Moratorium status across zip-codes observing fire incidences.</w:t>
      </w:r>
    </w:p>
    <w:p w14:paraId="5F785C6A" w14:textId="77777777" w:rsidR="004E2408" w:rsidRDefault="004E2408" w:rsidP="00DA6A0A">
      <w:pPr>
        <w:jc w:val="both"/>
        <w:rPr>
          <w:rFonts w:ascii="Times New Roman" w:hAnsi="Times New Roman" w:cs="Times New Roman"/>
          <w:sz w:val="22"/>
          <w:szCs w:val="22"/>
          <w:u w:val="single"/>
        </w:rPr>
      </w:pPr>
    </w:p>
    <w:p w14:paraId="6A39B8FA" w14:textId="165EE779" w:rsidR="00CB1248" w:rsidRDefault="00CB1248" w:rsidP="00DA6A0A">
      <w:pPr>
        <w:jc w:val="both"/>
        <w:rPr>
          <w:rFonts w:ascii="Times New Roman" w:hAnsi="Times New Roman" w:cs="Times New Roman"/>
          <w:sz w:val="22"/>
          <w:szCs w:val="22"/>
          <w:u w:val="single"/>
        </w:rPr>
      </w:pPr>
      <w:r w:rsidRPr="00CB1248">
        <w:rPr>
          <w:rFonts w:ascii="Times New Roman" w:hAnsi="Times New Roman" w:cs="Times New Roman"/>
          <w:sz w:val="22"/>
          <w:szCs w:val="22"/>
          <w:u w:val="single"/>
        </w:rPr>
        <w:t>Methodology</w:t>
      </w:r>
    </w:p>
    <w:p w14:paraId="153770F7" w14:textId="77777777" w:rsidR="008E4132" w:rsidRDefault="008E4132" w:rsidP="00DA6A0A">
      <w:pPr>
        <w:jc w:val="both"/>
        <w:rPr>
          <w:rFonts w:ascii="Times New Roman" w:hAnsi="Times New Roman" w:cs="Times New Roman"/>
          <w:sz w:val="22"/>
          <w:szCs w:val="22"/>
          <w:u w:val="single"/>
        </w:rPr>
      </w:pPr>
    </w:p>
    <w:p w14:paraId="029698AA" w14:textId="1261EA14" w:rsidR="008E4132" w:rsidRPr="008E4132" w:rsidRDefault="008E4132" w:rsidP="00DA6A0A">
      <w:pPr>
        <w:jc w:val="both"/>
        <w:rPr>
          <w:rFonts w:ascii="Times New Roman" w:hAnsi="Times New Roman" w:cs="Times New Roman"/>
          <w:sz w:val="22"/>
          <w:szCs w:val="22"/>
        </w:rPr>
      </w:pPr>
      <w:r>
        <w:rPr>
          <w:rFonts w:ascii="Times New Roman" w:hAnsi="Times New Roman" w:cs="Times New Roman"/>
          <w:sz w:val="22"/>
          <w:szCs w:val="22"/>
        </w:rPr>
        <w:t>The 2 models used to estimate the effect of the moratorium on earned premiums are described below:</w:t>
      </w:r>
    </w:p>
    <w:p w14:paraId="61FDB760" w14:textId="48F3D0D6" w:rsidR="008E4132" w:rsidRPr="008E4132" w:rsidRDefault="008E4132" w:rsidP="008E4132">
      <w:pPr>
        <w:ind w:right="576"/>
        <w:rPr>
          <w:rFonts w:ascii="Times New Roman" w:hAnsi="Times New Roman" w:cs="Times New Roman"/>
          <w:sz w:val="22"/>
          <w:szCs w:val="22"/>
        </w:rPr>
      </w:pPr>
    </w:p>
    <w:p w14:paraId="4FEF3BF5" w14:textId="4B7733BF" w:rsidR="008E4132" w:rsidRPr="00963D61" w:rsidRDefault="008E4132" w:rsidP="008E4132">
      <w:pPr>
        <w:pStyle w:val="ListParagraph"/>
        <w:numPr>
          <w:ilvl w:val="0"/>
          <w:numId w:val="4"/>
        </w:numPr>
        <w:ind w:right="576"/>
        <w:rPr>
          <w:rFonts w:ascii="Times New Roman" w:hAnsi="Times New Roman" w:cs="Times New Roman"/>
          <w:sz w:val="22"/>
          <w:szCs w:val="22"/>
        </w:rPr>
      </w:pPr>
      <w:r w:rsidRPr="00963D61">
        <w:rPr>
          <w:rFonts w:ascii="Times New Roman" w:hAnsi="Times New Roman" w:cs="Times New Roman"/>
          <w:sz w:val="22"/>
          <w:szCs w:val="22"/>
        </w:rPr>
        <w:t>Th</w:t>
      </w:r>
      <w:r>
        <w:rPr>
          <w:rFonts w:ascii="Times New Roman" w:hAnsi="Times New Roman" w:cs="Times New Roman"/>
          <w:sz w:val="22"/>
          <w:szCs w:val="22"/>
        </w:rPr>
        <w:t>is</w:t>
      </w:r>
      <w:r w:rsidRPr="00963D61">
        <w:rPr>
          <w:rFonts w:ascii="Times New Roman" w:hAnsi="Times New Roman" w:cs="Times New Roman"/>
          <w:sz w:val="22"/>
          <w:szCs w:val="22"/>
        </w:rPr>
        <w:t xml:space="preserve"> model </w:t>
      </w:r>
      <w:r>
        <w:rPr>
          <w:rFonts w:ascii="Times New Roman" w:hAnsi="Times New Roman" w:cs="Times New Roman"/>
          <w:sz w:val="22"/>
          <w:szCs w:val="22"/>
        </w:rPr>
        <w:t>includes city</w:t>
      </w:r>
      <w:r w:rsidRPr="00963D61">
        <w:rPr>
          <w:rFonts w:ascii="Times New Roman" w:hAnsi="Times New Roman" w:cs="Times New Roman"/>
          <w:sz w:val="22"/>
          <w:szCs w:val="22"/>
        </w:rPr>
        <w:t xml:space="preserve">-fixed effects </w:t>
      </w:r>
      <w:r>
        <w:rPr>
          <w:rFonts w:ascii="Times New Roman" w:hAnsi="Times New Roman" w:cs="Times New Roman"/>
          <w:sz w:val="22"/>
          <w:szCs w:val="22"/>
        </w:rPr>
        <w:t xml:space="preserve">and </w:t>
      </w:r>
      <w:r w:rsidRPr="00963D61">
        <w:rPr>
          <w:rFonts w:ascii="Times New Roman" w:hAnsi="Times New Roman" w:cs="Times New Roman"/>
          <w:sz w:val="22"/>
          <w:szCs w:val="22"/>
        </w:rPr>
        <w:t xml:space="preserve">year-fixed effects. The </w:t>
      </w:r>
      <w:r>
        <w:rPr>
          <w:rFonts w:ascii="Times New Roman" w:hAnsi="Times New Roman" w:cs="Times New Roman"/>
          <w:sz w:val="22"/>
          <w:szCs w:val="22"/>
        </w:rPr>
        <w:t>city</w:t>
      </w:r>
      <w:r w:rsidRPr="00963D61">
        <w:rPr>
          <w:rFonts w:ascii="Times New Roman" w:hAnsi="Times New Roman" w:cs="Times New Roman"/>
          <w:sz w:val="22"/>
          <w:szCs w:val="22"/>
        </w:rPr>
        <w:t xml:space="preserve">-fixed effects account for any </w:t>
      </w:r>
      <w:r>
        <w:rPr>
          <w:rFonts w:ascii="Times New Roman" w:hAnsi="Times New Roman" w:cs="Times New Roman"/>
          <w:sz w:val="22"/>
          <w:szCs w:val="22"/>
        </w:rPr>
        <w:t>city</w:t>
      </w:r>
      <w:r w:rsidRPr="00963D61">
        <w:rPr>
          <w:rFonts w:ascii="Times New Roman" w:hAnsi="Times New Roman" w:cs="Times New Roman"/>
          <w:sz w:val="22"/>
          <w:szCs w:val="22"/>
        </w:rPr>
        <w:t>-specific changes that happen over the years</w:t>
      </w:r>
      <w:r>
        <w:rPr>
          <w:rFonts w:ascii="Times New Roman" w:hAnsi="Times New Roman" w:cs="Times New Roman"/>
          <w:sz w:val="22"/>
          <w:szCs w:val="22"/>
        </w:rPr>
        <w:t xml:space="preserve"> while the year-fixed effects control for </w:t>
      </w:r>
      <w:r w:rsidR="004925E1">
        <w:rPr>
          <w:rFonts w:ascii="Times New Roman" w:hAnsi="Times New Roman" w:cs="Times New Roman"/>
          <w:sz w:val="22"/>
          <w:szCs w:val="22"/>
        </w:rPr>
        <w:t>time-specific patterns in the outcome.</w:t>
      </w:r>
    </w:p>
    <w:p w14:paraId="27DC0AEF" w14:textId="77777777" w:rsidR="008E4132" w:rsidRDefault="008E4132" w:rsidP="008E4132">
      <w:pPr>
        <w:pStyle w:val="ListParagraph"/>
        <w:ind w:left="1440" w:right="576"/>
        <w:jc w:val="center"/>
        <w:rPr>
          <w:rFonts w:ascii="Times New Roman" w:hAnsi="Times New Roman" w:cs="Times New Roman"/>
          <w:i/>
          <w:iCs/>
          <w:sz w:val="22"/>
          <w:szCs w:val="22"/>
        </w:rPr>
      </w:pPr>
    </w:p>
    <w:p w14:paraId="3F9C4000" w14:textId="2BD5905C" w:rsidR="008E4132" w:rsidRDefault="0048605B" w:rsidP="008E4132">
      <w:pPr>
        <w:pStyle w:val="ListParagraph"/>
        <w:ind w:left="1440" w:right="576"/>
        <w:jc w:val="center"/>
        <w:rPr>
          <w:rFonts w:ascii="Times New Roman" w:hAnsi="Times New Roman" w:cs="Times New Roman"/>
          <w:i/>
          <w:iCs/>
          <w:sz w:val="22"/>
          <w:szCs w:val="22"/>
          <w:vertAlign w:val="subscript"/>
        </w:rPr>
      </w:pPr>
      <w:r>
        <w:rPr>
          <w:rFonts w:ascii="Times New Roman" w:hAnsi="Times New Roman" w:cs="Times New Roman"/>
          <w:i/>
          <w:iCs/>
          <w:sz w:val="22"/>
          <w:szCs w:val="22"/>
        </w:rPr>
        <w:t>Log(</w:t>
      </w:r>
      <w:proofErr w:type="spellStart"/>
      <w:r w:rsidR="008E4132" w:rsidRPr="00963D61">
        <w:rPr>
          <w:rFonts w:ascii="Times New Roman" w:hAnsi="Times New Roman" w:cs="Times New Roman"/>
          <w:i/>
          <w:iCs/>
          <w:sz w:val="22"/>
          <w:szCs w:val="22"/>
        </w:rPr>
        <w:t>E</w:t>
      </w:r>
      <w:r w:rsidR="009556BD">
        <w:rPr>
          <w:rFonts w:ascii="Times New Roman" w:hAnsi="Times New Roman" w:cs="Times New Roman"/>
          <w:i/>
          <w:iCs/>
          <w:sz w:val="22"/>
          <w:szCs w:val="22"/>
        </w:rPr>
        <w:t>P</w:t>
      </w:r>
      <w:r w:rsidR="009556BD">
        <w:rPr>
          <w:rFonts w:ascii="Times New Roman" w:hAnsi="Times New Roman" w:cs="Times New Roman"/>
          <w:i/>
          <w:iCs/>
          <w:sz w:val="22"/>
          <w:szCs w:val="22"/>
          <w:vertAlign w:val="subscript"/>
        </w:rPr>
        <w:t>z</w:t>
      </w:r>
      <w:r w:rsidR="008E4132" w:rsidRPr="00963D61">
        <w:rPr>
          <w:rFonts w:ascii="Times New Roman" w:hAnsi="Times New Roman" w:cs="Times New Roman"/>
          <w:i/>
          <w:iCs/>
          <w:sz w:val="22"/>
          <w:szCs w:val="22"/>
          <w:vertAlign w:val="subscript"/>
        </w:rPr>
        <w:t>t</w:t>
      </w:r>
      <w:proofErr w:type="spellEnd"/>
      <w:r>
        <w:rPr>
          <w:rFonts w:ascii="Times New Roman" w:hAnsi="Times New Roman" w:cs="Times New Roman"/>
          <w:i/>
          <w:iCs/>
          <w:sz w:val="22"/>
          <w:szCs w:val="22"/>
        </w:rPr>
        <w:t>)</w:t>
      </w:r>
      <w:r w:rsidR="008E4132" w:rsidRPr="00963D61">
        <w:rPr>
          <w:rFonts w:ascii="Times New Roman" w:hAnsi="Times New Roman" w:cs="Times New Roman"/>
          <w:i/>
          <w:iCs/>
          <w:sz w:val="22"/>
          <w:szCs w:val="22"/>
        </w:rPr>
        <w:t xml:space="preserve"> = </w:t>
      </w:r>
      <w:r w:rsidR="008E4132" w:rsidRPr="00963D61">
        <w:rPr>
          <w:rFonts w:ascii="Times New Roman" w:hAnsi="Times New Roman" w:cs="Times New Roman"/>
          <w:sz w:val="22"/>
          <w:szCs w:val="22"/>
        </w:rPr>
        <w:sym w:font="Symbol" w:char="F061"/>
      </w:r>
      <w:r w:rsidR="008E4132" w:rsidRPr="00963D61">
        <w:rPr>
          <w:rFonts w:ascii="Times New Roman" w:hAnsi="Times New Roman" w:cs="Times New Roman"/>
          <w:i/>
          <w:iCs/>
          <w:sz w:val="22"/>
          <w:szCs w:val="22"/>
        </w:rPr>
        <w:t xml:space="preserve"> + </w:t>
      </w:r>
      <w:r w:rsidR="008E4132" w:rsidRPr="00963D61">
        <w:rPr>
          <w:rFonts w:ascii="Times New Roman" w:hAnsi="Times New Roman" w:cs="Times New Roman"/>
          <w:sz w:val="22"/>
          <w:szCs w:val="22"/>
        </w:rPr>
        <w:sym w:font="Symbol" w:char="F062"/>
      </w:r>
      <w:r w:rsidR="004A6A7F">
        <w:rPr>
          <w:rFonts w:ascii="Times New Roman" w:hAnsi="Times New Roman" w:cs="Times New Roman"/>
          <w:sz w:val="22"/>
          <w:szCs w:val="22"/>
          <w:vertAlign w:val="subscript"/>
        </w:rPr>
        <w:t>p</w:t>
      </w:r>
      <w:r w:rsidR="008E4132" w:rsidRPr="00963D61">
        <w:rPr>
          <w:rFonts w:ascii="Times New Roman" w:hAnsi="Times New Roman" w:cs="Times New Roman"/>
          <w:i/>
          <w:iCs/>
          <w:sz w:val="22"/>
          <w:szCs w:val="22"/>
        </w:rPr>
        <w:t>*</w:t>
      </w:r>
      <w:proofErr w:type="spellStart"/>
      <w:r w:rsidR="00707156">
        <w:rPr>
          <w:rFonts w:ascii="Times New Roman" w:hAnsi="Times New Roman" w:cs="Times New Roman"/>
          <w:i/>
          <w:iCs/>
          <w:sz w:val="22"/>
          <w:szCs w:val="22"/>
        </w:rPr>
        <w:t>M</w:t>
      </w:r>
      <w:r w:rsidR="008E4132">
        <w:rPr>
          <w:rFonts w:ascii="Times New Roman" w:hAnsi="Times New Roman" w:cs="Times New Roman"/>
          <w:i/>
          <w:iCs/>
          <w:sz w:val="22"/>
          <w:szCs w:val="22"/>
          <w:vertAlign w:val="subscript"/>
        </w:rPr>
        <w:t>z</w:t>
      </w:r>
      <w:r w:rsidR="008E4132" w:rsidRPr="00963D61">
        <w:rPr>
          <w:rFonts w:ascii="Times New Roman" w:hAnsi="Times New Roman" w:cs="Times New Roman"/>
          <w:i/>
          <w:iCs/>
          <w:sz w:val="22"/>
          <w:szCs w:val="22"/>
          <w:vertAlign w:val="subscript"/>
        </w:rPr>
        <w:t>t</w:t>
      </w:r>
      <w:proofErr w:type="spellEnd"/>
      <w:r w:rsidR="008E4132" w:rsidRPr="00963D61">
        <w:rPr>
          <w:rFonts w:ascii="Times New Roman" w:hAnsi="Times New Roman" w:cs="Times New Roman"/>
          <w:i/>
          <w:iCs/>
          <w:sz w:val="22"/>
          <w:szCs w:val="22"/>
        </w:rPr>
        <w:t xml:space="preserve"> + </w:t>
      </w:r>
      <w:r w:rsidR="008E4132" w:rsidRPr="00963D61">
        <w:rPr>
          <w:rFonts w:ascii="Times New Roman" w:hAnsi="Times New Roman" w:cs="Times New Roman"/>
          <w:i/>
          <w:iCs/>
          <w:sz w:val="22"/>
          <w:szCs w:val="22"/>
        </w:rPr>
        <w:sym w:font="Symbol" w:char="F067"/>
      </w:r>
      <w:r w:rsidR="008E4132" w:rsidRPr="00963D61">
        <w:rPr>
          <w:rFonts w:ascii="Times New Roman" w:hAnsi="Times New Roman" w:cs="Times New Roman"/>
          <w:i/>
          <w:iCs/>
          <w:sz w:val="22"/>
          <w:szCs w:val="22"/>
          <w:vertAlign w:val="subscript"/>
        </w:rPr>
        <w:t>t</w:t>
      </w:r>
      <w:r w:rsidR="008E4132" w:rsidRPr="00963D61">
        <w:rPr>
          <w:rFonts w:ascii="Times New Roman" w:hAnsi="Times New Roman" w:cs="Times New Roman"/>
          <w:i/>
          <w:iCs/>
          <w:sz w:val="22"/>
          <w:szCs w:val="22"/>
        </w:rPr>
        <w:t xml:space="preserve"> +</w:t>
      </w:r>
      <w:r w:rsidR="008E4132" w:rsidRPr="00963D61">
        <w:rPr>
          <w:rFonts w:ascii="Times New Roman" w:hAnsi="Times New Roman" w:cs="Times New Roman"/>
          <w:i/>
          <w:iCs/>
          <w:sz w:val="22"/>
          <w:szCs w:val="22"/>
        </w:rPr>
        <w:sym w:font="Symbol" w:char="F067"/>
      </w:r>
      <w:r w:rsidR="008E4132">
        <w:rPr>
          <w:rFonts w:ascii="Times New Roman" w:hAnsi="Times New Roman" w:cs="Times New Roman"/>
          <w:i/>
          <w:iCs/>
          <w:sz w:val="22"/>
          <w:szCs w:val="22"/>
          <w:vertAlign w:val="subscript"/>
        </w:rPr>
        <w:t>c</w:t>
      </w:r>
      <w:r w:rsidR="008E4132" w:rsidRPr="00963D61">
        <w:rPr>
          <w:rFonts w:ascii="Times New Roman" w:hAnsi="Times New Roman" w:cs="Times New Roman"/>
          <w:i/>
          <w:iCs/>
          <w:sz w:val="22"/>
          <w:szCs w:val="22"/>
        </w:rPr>
        <w:t xml:space="preserve"> + </w:t>
      </w:r>
      <w:r w:rsidR="008E4132" w:rsidRPr="00963D61">
        <w:rPr>
          <w:rFonts w:ascii="Times New Roman" w:hAnsi="Times New Roman" w:cs="Times New Roman"/>
          <w:sz w:val="22"/>
          <w:szCs w:val="22"/>
        </w:rPr>
        <w:sym w:font="Symbol" w:char="F065"/>
      </w:r>
      <w:r w:rsidR="008E4132" w:rsidRPr="00963D61">
        <w:rPr>
          <w:rFonts w:ascii="Times New Roman" w:hAnsi="Times New Roman" w:cs="Times New Roman"/>
          <w:i/>
          <w:iCs/>
          <w:sz w:val="22"/>
          <w:szCs w:val="22"/>
          <w:vertAlign w:val="subscript"/>
        </w:rPr>
        <w:t>it</w:t>
      </w:r>
    </w:p>
    <w:p w14:paraId="4F0CE866" w14:textId="77777777" w:rsidR="008E4132" w:rsidRDefault="008E4132" w:rsidP="008E4132">
      <w:pPr>
        <w:pStyle w:val="ListParagraph"/>
        <w:ind w:left="1440" w:right="576"/>
        <w:jc w:val="center"/>
        <w:rPr>
          <w:rFonts w:ascii="Times New Roman" w:hAnsi="Times New Roman" w:cs="Times New Roman"/>
          <w:i/>
          <w:iCs/>
          <w:sz w:val="22"/>
          <w:szCs w:val="22"/>
          <w:vertAlign w:val="subscript"/>
        </w:rPr>
      </w:pPr>
    </w:p>
    <w:p w14:paraId="061CBE93" w14:textId="7EBA68D0" w:rsidR="00707156" w:rsidRDefault="008E4132" w:rsidP="00707156">
      <w:pPr>
        <w:ind w:left="1440" w:right="576" w:hanging="720"/>
        <w:rPr>
          <w:rFonts w:ascii="Times New Roman" w:hAnsi="Times New Roman" w:cs="Times New Roman"/>
          <w:sz w:val="22"/>
          <w:szCs w:val="22"/>
        </w:rPr>
      </w:pPr>
      <w:proofErr w:type="spellStart"/>
      <w:r w:rsidRPr="008E4132">
        <w:rPr>
          <w:rFonts w:ascii="Times New Roman" w:hAnsi="Times New Roman" w:cs="Times New Roman"/>
          <w:i/>
          <w:iCs/>
          <w:sz w:val="22"/>
          <w:szCs w:val="22"/>
        </w:rPr>
        <w:t>EP</w:t>
      </w:r>
      <w:r w:rsidRPr="008E4132">
        <w:rPr>
          <w:rFonts w:ascii="Times New Roman" w:hAnsi="Times New Roman" w:cs="Times New Roman"/>
          <w:i/>
          <w:iCs/>
          <w:sz w:val="22"/>
          <w:szCs w:val="22"/>
          <w:vertAlign w:val="subscript"/>
        </w:rPr>
        <w:t>zt</w:t>
      </w:r>
      <w:proofErr w:type="spellEnd"/>
      <w:r w:rsidRPr="00963D61">
        <w:rPr>
          <w:rFonts w:ascii="Times New Roman" w:hAnsi="Times New Roman" w:cs="Times New Roman"/>
          <w:sz w:val="22"/>
          <w:szCs w:val="22"/>
        </w:rPr>
        <w:t xml:space="preserve"> =</w:t>
      </w:r>
      <w:r>
        <w:rPr>
          <w:rFonts w:ascii="Times New Roman" w:hAnsi="Times New Roman" w:cs="Times New Roman"/>
          <w:sz w:val="22"/>
          <w:szCs w:val="22"/>
        </w:rPr>
        <w:t xml:space="preserve">Annual premium earned by insurance companies in zip-code </w:t>
      </w:r>
      <w:r>
        <w:rPr>
          <w:rFonts w:ascii="Times New Roman" w:hAnsi="Times New Roman" w:cs="Times New Roman"/>
          <w:i/>
          <w:iCs/>
          <w:sz w:val="22"/>
          <w:szCs w:val="22"/>
        </w:rPr>
        <w:t>z</w:t>
      </w:r>
      <w:r>
        <w:rPr>
          <w:rFonts w:ascii="Times New Roman" w:hAnsi="Times New Roman" w:cs="Times New Roman"/>
          <w:sz w:val="22"/>
          <w:szCs w:val="22"/>
        </w:rPr>
        <w:t xml:space="preserve">, in year </w:t>
      </w:r>
      <w:r>
        <w:rPr>
          <w:rFonts w:ascii="Times New Roman" w:hAnsi="Times New Roman" w:cs="Times New Roman"/>
          <w:i/>
          <w:iCs/>
          <w:sz w:val="22"/>
          <w:szCs w:val="22"/>
        </w:rPr>
        <w:t>t</w:t>
      </w:r>
      <w:r>
        <w:rPr>
          <w:rFonts w:ascii="Times New Roman" w:hAnsi="Times New Roman" w:cs="Times New Roman"/>
          <w:sz w:val="22"/>
          <w:szCs w:val="22"/>
        </w:rPr>
        <w:t>.</w:t>
      </w:r>
    </w:p>
    <w:p w14:paraId="4FC667CF" w14:textId="50ED8A11" w:rsidR="008E4132" w:rsidRPr="00707156" w:rsidRDefault="00707156" w:rsidP="00707156">
      <w:pPr>
        <w:ind w:left="1440" w:right="576" w:hanging="720"/>
        <w:rPr>
          <w:rFonts w:ascii="Times New Roman" w:hAnsi="Times New Roman" w:cs="Times New Roman"/>
          <w:sz w:val="22"/>
          <w:szCs w:val="22"/>
        </w:rPr>
      </w:pPr>
      <w:proofErr w:type="spellStart"/>
      <w:r>
        <w:rPr>
          <w:rFonts w:ascii="Times New Roman" w:hAnsi="Times New Roman" w:cs="Times New Roman"/>
          <w:i/>
          <w:iCs/>
          <w:sz w:val="22"/>
          <w:szCs w:val="22"/>
        </w:rPr>
        <w:t>M</w:t>
      </w:r>
      <w:r>
        <w:rPr>
          <w:rFonts w:ascii="Times New Roman" w:hAnsi="Times New Roman" w:cs="Times New Roman"/>
          <w:i/>
          <w:iCs/>
          <w:sz w:val="22"/>
          <w:szCs w:val="22"/>
          <w:vertAlign w:val="subscript"/>
        </w:rPr>
        <w:t>zt</w:t>
      </w:r>
      <w:proofErr w:type="spellEnd"/>
      <w:r>
        <w:rPr>
          <w:rFonts w:ascii="Times New Roman" w:hAnsi="Times New Roman" w:cs="Times New Roman"/>
          <w:i/>
          <w:iCs/>
          <w:sz w:val="22"/>
          <w:szCs w:val="22"/>
        </w:rPr>
        <w:t xml:space="preserve"> </w:t>
      </w:r>
      <w:r>
        <w:rPr>
          <w:rFonts w:ascii="Times New Roman" w:hAnsi="Times New Roman" w:cs="Times New Roman"/>
          <w:sz w:val="22"/>
          <w:szCs w:val="22"/>
        </w:rPr>
        <w:t xml:space="preserve">= Indicator that attains value 1 if moratorium is in effect in zip-code </w:t>
      </w:r>
      <w:r>
        <w:rPr>
          <w:rFonts w:ascii="Times New Roman" w:hAnsi="Times New Roman" w:cs="Times New Roman"/>
          <w:i/>
          <w:iCs/>
          <w:sz w:val="22"/>
          <w:szCs w:val="22"/>
        </w:rPr>
        <w:t>z</w:t>
      </w:r>
      <w:r>
        <w:rPr>
          <w:rFonts w:ascii="Times New Roman" w:hAnsi="Times New Roman" w:cs="Times New Roman"/>
          <w:sz w:val="22"/>
          <w:szCs w:val="22"/>
        </w:rPr>
        <w:t xml:space="preserve">, year </w:t>
      </w:r>
      <w:r>
        <w:rPr>
          <w:rFonts w:ascii="Times New Roman" w:hAnsi="Times New Roman" w:cs="Times New Roman"/>
          <w:i/>
          <w:iCs/>
          <w:sz w:val="22"/>
          <w:szCs w:val="22"/>
        </w:rPr>
        <w:t xml:space="preserve">t </w:t>
      </w:r>
      <w:r>
        <w:rPr>
          <w:rFonts w:ascii="Times New Roman" w:hAnsi="Times New Roman" w:cs="Times New Roman"/>
          <w:sz w:val="22"/>
          <w:szCs w:val="22"/>
        </w:rPr>
        <w:t xml:space="preserve">and 0 if no moratorium is in effect in in zip-code </w:t>
      </w:r>
      <w:r>
        <w:rPr>
          <w:rFonts w:ascii="Times New Roman" w:hAnsi="Times New Roman" w:cs="Times New Roman"/>
          <w:i/>
          <w:iCs/>
          <w:sz w:val="22"/>
          <w:szCs w:val="22"/>
        </w:rPr>
        <w:t>z</w:t>
      </w:r>
      <w:r>
        <w:rPr>
          <w:rFonts w:ascii="Times New Roman" w:hAnsi="Times New Roman" w:cs="Times New Roman"/>
          <w:sz w:val="22"/>
          <w:szCs w:val="22"/>
        </w:rPr>
        <w:t xml:space="preserve">, year </w:t>
      </w:r>
      <w:r>
        <w:rPr>
          <w:rFonts w:ascii="Times New Roman" w:hAnsi="Times New Roman" w:cs="Times New Roman"/>
          <w:i/>
          <w:iCs/>
          <w:sz w:val="22"/>
          <w:szCs w:val="22"/>
        </w:rPr>
        <w:t>t</w:t>
      </w:r>
    </w:p>
    <w:p w14:paraId="68501D49" w14:textId="63482359" w:rsidR="008E4132" w:rsidRPr="008E4132" w:rsidRDefault="008E4132" w:rsidP="008E4132">
      <w:pPr>
        <w:ind w:left="1440" w:right="576" w:hanging="720"/>
        <w:rPr>
          <w:rFonts w:ascii="Times New Roman" w:hAnsi="Times New Roman" w:cs="Times New Roman"/>
          <w:sz w:val="22"/>
          <w:szCs w:val="22"/>
        </w:rPr>
      </w:pPr>
      <w:r w:rsidRPr="00963D61">
        <w:rPr>
          <w:i/>
          <w:iCs/>
        </w:rPr>
        <w:sym w:font="Symbol" w:char="F067"/>
      </w:r>
      <w:r w:rsidRPr="008E4132">
        <w:rPr>
          <w:rFonts w:ascii="Times New Roman" w:hAnsi="Times New Roman" w:cs="Times New Roman"/>
          <w:i/>
          <w:iCs/>
          <w:sz w:val="22"/>
          <w:szCs w:val="22"/>
          <w:vertAlign w:val="subscript"/>
        </w:rPr>
        <w:t>c</w:t>
      </w:r>
      <w:r w:rsidRPr="008E4132">
        <w:rPr>
          <w:rFonts w:ascii="Times New Roman" w:hAnsi="Times New Roman" w:cs="Times New Roman"/>
          <w:sz w:val="22"/>
          <w:szCs w:val="22"/>
        </w:rPr>
        <w:t xml:space="preserve"> = primary city dummies</w:t>
      </w:r>
    </w:p>
    <w:p w14:paraId="648058D4" w14:textId="77777777" w:rsidR="008E4132" w:rsidRDefault="008E4132" w:rsidP="008E4132">
      <w:pPr>
        <w:pStyle w:val="ListParagraph"/>
        <w:ind w:left="1440" w:right="576"/>
        <w:rPr>
          <w:rFonts w:ascii="Times New Roman" w:hAnsi="Times New Roman" w:cs="Times New Roman"/>
          <w:sz w:val="22"/>
          <w:szCs w:val="22"/>
        </w:rPr>
      </w:pPr>
    </w:p>
    <w:p w14:paraId="2ADC98A8" w14:textId="452B8339" w:rsidR="008E4132" w:rsidRPr="00963D61" w:rsidRDefault="008E4132" w:rsidP="008E4132">
      <w:pPr>
        <w:pStyle w:val="ListParagraph"/>
        <w:numPr>
          <w:ilvl w:val="0"/>
          <w:numId w:val="4"/>
        </w:numPr>
        <w:ind w:right="576"/>
        <w:rPr>
          <w:rFonts w:ascii="Times New Roman" w:hAnsi="Times New Roman" w:cs="Times New Roman"/>
          <w:sz w:val="22"/>
          <w:szCs w:val="22"/>
        </w:rPr>
      </w:pPr>
      <w:r w:rsidRPr="00963D61">
        <w:rPr>
          <w:rFonts w:ascii="Times New Roman" w:hAnsi="Times New Roman" w:cs="Times New Roman"/>
          <w:sz w:val="22"/>
          <w:szCs w:val="22"/>
        </w:rPr>
        <w:t xml:space="preserve">The following model adds </w:t>
      </w:r>
      <w:r>
        <w:rPr>
          <w:rFonts w:ascii="Times New Roman" w:hAnsi="Times New Roman" w:cs="Times New Roman"/>
          <w:sz w:val="22"/>
          <w:szCs w:val="22"/>
        </w:rPr>
        <w:t xml:space="preserve">zip-code </w:t>
      </w:r>
      <w:r w:rsidRPr="00963D61">
        <w:rPr>
          <w:rFonts w:ascii="Times New Roman" w:hAnsi="Times New Roman" w:cs="Times New Roman"/>
          <w:sz w:val="22"/>
          <w:szCs w:val="22"/>
        </w:rPr>
        <w:t xml:space="preserve">fixed effects to base model along with year-fixed effects. The </w:t>
      </w:r>
      <w:r>
        <w:rPr>
          <w:rFonts w:ascii="Times New Roman" w:hAnsi="Times New Roman" w:cs="Times New Roman"/>
          <w:sz w:val="22"/>
          <w:szCs w:val="22"/>
        </w:rPr>
        <w:t>zip-code</w:t>
      </w:r>
      <w:r w:rsidRPr="00963D61">
        <w:rPr>
          <w:rFonts w:ascii="Times New Roman" w:hAnsi="Times New Roman" w:cs="Times New Roman"/>
          <w:sz w:val="22"/>
          <w:szCs w:val="22"/>
        </w:rPr>
        <w:t xml:space="preserve">-fixed effects account for any </w:t>
      </w:r>
      <w:r>
        <w:rPr>
          <w:rFonts w:ascii="Times New Roman" w:hAnsi="Times New Roman" w:cs="Times New Roman"/>
          <w:sz w:val="22"/>
          <w:szCs w:val="22"/>
        </w:rPr>
        <w:t>location-specific</w:t>
      </w:r>
      <w:r w:rsidRPr="00963D61">
        <w:rPr>
          <w:rFonts w:ascii="Times New Roman" w:hAnsi="Times New Roman" w:cs="Times New Roman"/>
          <w:sz w:val="22"/>
          <w:szCs w:val="22"/>
        </w:rPr>
        <w:t xml:space="preserve"> c</w:t>
      </w:r>
      <w:r>
        <w:rPr>
          <w:rFonts w:ascii="Times New Roman" w:hAnsi="Times New Roman" w:cs="Times New Roman"/>
          <w:sz w:val="22"/>
          <w:szCs w:val="22"/>
        </w:rPr>
        <w:t>hanges t</w:t>
      </w:r>
      <w:r w:rsidRPr="00963D61">
        <w:rPr>
          <w:rFonts w:ascii="Times New Roman" w:hAnsi="Times New Roman" w:cs="Times New Roman"/>
          <w:sz w:val="22"/>
          <w:szCs w:val="22"/>
        </w:rPr>
        <w:t>hat happen</w:t>
      </w:r>
      <w:r>
        <w:rPr>
          <w:rFonts w:ascii="Times New Roman" w:hAnsi="Times New Roman" w:cs="Times New Roman"/>
          <w:sz w:val="22"/>
          <w:szCs w:val="22"/>
        </w:rPr>
        <w:t xml:space="preserve">, at the most granular geographic level, </w:t>
      </w:r>
      <w:r w:rsidRPr="00963D61">
        <w:rPr>
          <w:rFonts w:ascii="Times New Roman" w:hAnsi="Times New Roman" w:cs="Times New Roman"/>
          <w:sz w:val="22"/>
          <w:szCs w:val="22"/>
        </w:rPr>
        <w:t>over the years. This model is also called the two-way fixed effects model owing to the existence of fixed effects of the individual unit and time</w:t>
      </w:r>
      <w:r>
        <w:rPr>
          <w:rFonts w:ascii="Times New Roman" w:hAnsi="Times New Roman" w:cs="Times New Roman"/>
          <w:sz w:val="22"/>
          <w:szCs w:val="22"/>
        </w:rPr>
        <w:t>. This is also called the generalized difference-in-difference model</w:t>
      </w:r>
      <w:r w:rsidRPr="00963D61">
        <w:rPr>
          <w:rFonts w:ascii="Times New Roman" w:hAnsi="Times New Roman" w:cs="Times New Roman"/>
          <w:sz w:val="22"/>
          <w:szCs w:val="22"/>
        </w:rPr>
        <w:t>:</w:t>
      </w:r>
    </w:p>
    <w:p w14:paraId="6BD91E20" w14:textId="77777777" w:rsidR="008E4132" w:rsidRDefault="008E4132" w:rsidP="008E4132">
      <w:pPr>
        <w:pStyle w:val="ListParagraph"/>
        <w:ind w:left="1440" w:right="576"/>
        <w:jc w:val="center"/>
        <w:rPr>
          <w:rFonts w:ascii="Times New Roman" w:hAnsi="Times New Roman" w:cs="Times New Roman"/>
          <w:i/>
          <w:iCs/>
          <w:sz w:val="22"/>
          <w:szCs w:val="22"/>
        </w:rPr>
      </w:pPr>
    </w:p>
    <w:p w14:paraId="03659B34" w14:textId="0DCCCFAB" w:rsidR="008E4132" w:rsidRDefault="0048605B" w:rsidP="008E4132">
      <w:pPr>
        <w:pStyle w:val="ListParagraph"/>
        <w:ind w:left="1440" w:right="576"/>
        <w:jc w:val="center"/>
        <w:rPr>
          <w:rFonts w:ascii="Times New Roman" w:hAnsi="Times New Roman" w:cs="Times New Roman"/>
          <w:i/>
          <w:iCs/>
          <w:sz w:val="22"/>
          <w:szCs w:val="22"/>
          <w:vertAlign w:val="subscript"/>
        </w:rPr>
      </w:pPr>
      <w:r>
        <w:rPr>
          <w:rFonts w:ascii="Times New Roman" w:hAnsi="Times New Roman" w:cs="Times New Roman"/>
          <w:i/>
          <w:iCs/>
          <w:sz w:val="22"/>
          <w:szCs w:val="22"/>
        </w:rPr>
        <w:lastRenderedPageBreak/>
        <w:t>Log(</w:t>
      </w:r>
      <w:proofErr w:type="spellStart"/>
      <w:r w:rsidR="008E4132" w:rsidRPr="00963D61">
        <w:rPr>
          <w:rFonts w:ascii="Times New Roman" w:hAnsi="Times New Roman" w:cs="Times New Roman"/>
          <w:i/>
          <w:iCs/>
          <w:sz w:val="22"/>
          <w:szCs w:val="22"/>
        </w:rPr>
        <w:t>E</w:t>
      </w:r>
      <w:r w:rsidR="009556BD">
        <w:rPr>
          <w:rFonts w:ascii="Times New Roman" w:hAnsi="Times New Roman" w:cs="Times New Roman"/>
          <w:i/>
          <w:iCs/>
          <w:sz w:val="22"/>
          <w:szCs w:val="22"/>
        </w:rPr>
        <w:t>P</w:t>
      </w:r>
      <w:r w:rsidR="009556BD">
        <w:rPr>
          <w:rFonts w:ascii="Times New Roman" w:hAnsi="Times New Roman" w:cs="Times New Roman"/>
          <w:i/>
          <w:iCs/>
          <w:sz w:val="22"/>
          <w:szCs w:val="22"/>
          <w:vertAlign w:val="subscript"/>
        </w:rPr>
        <w:t>z</w:t>
      </w:r>
      <w:r w:rsidR="008E4132" w:rsidRPr="00963D61">
        <w:rPr>
          <w:rFonts w:ascii="Times New Roman" w:hAnsi="Times New Roman" w:cs="Times New Roman"/>
          <w:i/>
          <w:iCs/>
          <w:sz w:val="22"/>
          <w:szCs w:val="22"/>
          <w:vertAlign w:val="subscript"/>
        </w:rPr>
        <w:t>t</w:t>
      </w:r>
      <w:proofErr w:type="spellEnd"/>
      <w:r w:rsidR="008E4132" w:rsidRPr="00963D61">
        <w:rPr>
          <w:rFonts w:ascii="Times New Roman" w:hAnsi="Times New Roman" w:cs="Times New Roman"/>
          <w:i/>
          <w:iCs/>
          <w:sz w:val="22"/>
          <w:szCs w:val="22"/>
        </w:rPr>
        <w:t xml:space="preserve"> </w:t>
      </w:r>
      <w:r>
        <w:rPr>
          <w:rFonts w:ascii="Times New Roman" w:hAnsi="Times New Roman" w:cs="Times New Roman"/>
          <w:i/>
          <w:iCs/>
          <w:sz w:val="22"/>
          <w:szCs w:val="22"/>
        </w:rPr>
        <w:t>)</w:t>
      </w:r>
      <w:r w:rsidR="008E4132" w:rsidRPr="00963D61">
        <w:rPr>
          <w:rFonts w:ascii="Times New Roman" w:hAnsi="Times New Roman" w:cs="Times New Roman"/>
          <w:i/>
          <w:iCs/>
          <w:sz w:val="22"/>
          <w:szCs w:val="22"/>
        </w:rPr>
        <w:t xml:space="preserve">= </w:t>
      </w:r>
      <w:r w:rsidR="008E4132" w:rsidRPr="00963D61">
        <w:rPr>
          <w:rFonts w:ascii="Times New Roman" w:hAnsi="Times New Roman" w:cs="Times New Roman"/>
          <w:sz w:val="22"/>
          <w:szCs w:val="22"/>
        </w:rPr>
        <w:sym w:font="Symbol" w:char="F061"/>
      </w:r>
      <w:r w:rsidR="008E4132" w:rsidRPr="00963D61">
        <w:rPr>
          <w:rFonts w:ascii="Times New Roman" w:hAnsi="Times New Roman" w:cs="Times New Roman"/>
          <w:i/>
          <w:iCs/>
          <w:sz w:val="22"/>
          <w:szCs w:val="22"/>
        </w:rPr>
        <w:t xml:space="preserve"> + </w:t>
      </w:r>
      <w:r w:rsidR="008E4132" w:rsidRPr="00963D61">
        <w:rPr>
          <w:rFonts w:ascii="Times New Roman" w:hAnsi="Times New Roman" w:cs="Times New Roman"/>
          <w:sz w:val="22"/>
          <w:szCs w:val="22"/>
        </w:rPr>
        <w:sym w:font="Symbol" w:char="F062"/>
      </w:r>
      <w:r w:rsidR="004A6A7F">
        <w:rPr>
          <w:rFonts w:ascii="Times New Roman" w:hAnsi="Times New Roman" w:cs="Times New Roman"/>
          <w:sz w:val="22"/>
          <w:szCs w:val="22"/>
          <w:vertAlign w:val="subscript"/>
        </w:rPr>
        <w:t>p</w:t>
      </w:r>
      <w:r w:rsidR="008E4132" w:rsidRPr="00963D61">
        <w:rPr>
          <w:rFonts w:ascii="Times New Roman" w:hAnsi="Times New Roman" w:cs="Times New Roman"/>
          <w:i/>
          <w:iCs/>
          <w:sz w:val="22"/>
          <w:szCs w:val="22"/>
        </w:rPr>
        <w:t>*</w:t>
      </w:r>
      <w:proofErr w:type="spellStart"/>
      <w:r w:rsidR="009556BD">
        <w:rPr>
          <w:rFonts w:ascii="Times New Roman" w:hAnsi="Times New Roman" w:cs="Times New Roman"/>
          <w:i/>
          <w:iCs/>
          <w:sz w:val="22"/>
          <w:szCs w:val="22"/>
        </w:rPr>
        <w:t>M</w:t>
      </w:r>
      <w:r w:rsidR="008E4132">
        <w:rPr>
          <w:rFonts w:ascii="Times New Roman" w:hAnsi="Times New Roman" w:cs="Times New Roman"/>
          <w:i/>
          <w:iCs/>
          <w:sz w:val="22"/>
          <w:szCs w:val="22"/>
          <w:vertAlign w:val="subscript"/>
        </w:rPr>
        <w:t>z</w:t>
      </w:r>
      <w:r w:rsidR="008E4132" w:rsidRPr="00963D61">
        <w:rPr>
          <w:rFonts w:ascii="Times New Roman" w:hAnsi="Times New Roman" w:cs="Times New Roman"/>
          <w:i/>
          <w:iCs/>
          <w:sz w:val="22"/>
          <w:szCs w:val="22"/>
          <w:vertAlign w:val="subscript"/>
        </w:rPr>
        <w:t>t</w:t>
      </w:r>
      <w:proofErr w:type="spellEnd"/>
      <w:r w:rsidR="008E4132" w:rsidRPr="00963D61">
        <w:rPr>
          <w:rFonts w:ascii="Times New Roman" w:hAnsi="Times New Roman" w:cs="Times New Roman"/>
          <w:i/>
          <w:iCs/>
          <w:sz w:val="22"/>
          <w:szCs w:val="22"/>
        </w:rPr>
        <w:t xml:space="preserve"> + </w:t>
      </w:r>
      <w:r w:rsidR="008E4132" w:rsidRPr="00963D61">
        <w:rPr>
          <w:rFonts w:ascii="Times New Roman" w:hAnsi="Times New Roman" w:cs="Times New Roman"/>
          <w:sz w:val="22"/>
          <w:szCs w:val="22"/>
        </w:rPr>
        <w:sym w:font="Symbol" w:char="F067"/>
      </w:r>
      <w:r w:rsidR="008E4132" w:rsidRPr="00963D61">
        <w:rPr>
          <w:rFonts w:ascii="Times New Roman" w:hAnsi="Times New Roman" w:cs="Times New Roman"/>
          <w:i/>
          <w:iCs/>
          <w:sz w:val="22"/>
          <w:szCs w:val="22"/>
          <w:vertAlign w:val="subscript"/>
        </w:rPr>
        <w:t>t</w:t>
      </w:r>
      <w:r w:rsidR="008E4132" w:rsidRPr="00963D61">
        <w:rPr>
          <w:rFonts w:ascii="Times New Roman" w:hAnsi="Times New Roman" w:cs="Times New Roman"/>
          <w:i/>
          <w:iCs/>
          <w:sz w:val="22"/>
          <w:szCs w:val="22"/>
        </w:rPr>
        <w:t xml:space="preserve"> +</w:t>
      </w:r>
      <w:r w:rsidR="008E4132" w:rsidRPr="00963D61">
        <w:rPr>
          <w:rFonts w:ascii="Times New Roman" w:hAnsi="Times New Roman" w:cs="Times New Roman"/>
          <w:sz w:val="22"/>
          <w:szCs w:val="22"/>
        </w:rPr>
        <w:sym w:font="Symbol" w:char="F067"/>
      </w:r>
      <w:r w:rsidR="008E4132">
        <w:rPr>
          <w:rFonts w:ascii="Times New Roman" w:hAnsi="Times New Roman" w:cs="Times New Roman"/>
          <w:i/>
          <w:iCs/>
          <w:sz w:val="22"/>
          <w:szCs w:val="22"/>
          <w:vertAlign w:val="subscript"/>
        </w:rPr>
        <w:t>z</w:t>
      </w:r>
      <w:r w:rsidR="008E4132" w:rsidRPr="00963D61">
        <w:rPr>
          <w:rFonts w:ascii="Times New Roman" w:hAnsi="Times New Roman" w:cs="Times New Roman"/>
          <w:i/>
          <w:iCs/>
          <w:sz w:val="22"/>
          <w:szCs w:val="22"/>
        </w:rPr>
        <w:t xml:space="preserve"> + </w:t>
      </w:r>
      <w:r w:rsidR="008E4132" w:rsidRPr="00963D61">
        <w:rPr>
          <w:rFonts w:ascii="Times New Roman" w:hAnsi="Times New Roman" w:cs="Times New Roman"/>
          <w:sz w:val="22"/>
          <w:szCs w:val="22"/>
        </w:rPr>
        <w:sym w:font="Symbol" w:char="F065"/>
      </w:r>
      <w:r w:rsidR="008E4132" w:rsidRPr="00963D61">
        <w:rPr>
          <w:rFonts w:ascii="Times New Roman" w:hAnsi="Times New Roman" w:cs="Times New Roman"/>
          <w:i/>
          <w:iCs/>
          <w:sz w:val="22"/>
          <w:szCs w:val="22"/>
          <w:vertAlign w:val="subscript"/>
        </w:rPr>
        <w:t>it</w:t>
      </w:r>
    </w:p>
    <w:p w14:paraId="250D9BDA" w14:textId="77777777" w:rsidR="004E2408" w:rsidRPr="00963D61" w:rsidRDefault="004E2408" w:rsidP="008E4132">
      <w:pPr>
        <w:pStyle w:val="ListParagraph"/>
        <w:ind w:left="1440" w:right="576"/>
        <w:jc w:val="center"/>
        <w:rPr>
          <w:rFonts w:ascii="Times New Roman" w:hAnsi="Times New Roman" w:cs="Times New Roman"/>
          <w:i/>
          <w:iCs/>
          <w:sz w:val="22"/>
          <w:szCs w:val="22"/>
          <w:vertAlign w:val="subscript"/>
        </w:rPr>
      </w:pPr>
    </w:p>
    <w:p w14:paraId="6BFFCAD1" w14:textId="5820AC80" w:rsidR="008E4132" w:rsidRDefault="008E4132" w:rsidP="008E4132">
      <w:pPr>
        <w:pStyle w:val="ListParagraph"/>
        <w:ind w:left="1440" w:right="576"/>
        <w:rPr>
          <w:rFonts w:ascii="Times New Roman" w:hAnsi="Times New Roman" w:cs="Times New Roman"/>
          <w:sz w:val="22"/>
          <w:szCs w:val="22"/>
        </w:rPr>
      </w:pPr>
      <w:r w:rsidRPr="00963D61">
        <w:rPr>
          <w:rFonts w:ascii="Times New Roman" w:hAnsi="Times New Roman" w:cs="Times New Roman"/>
          <w:i/>
          <w:iCs/>
          <w:sz w:val="22"/>
          <w:szCs w:val="22"/>
        </w:rPr>
        <w:sym w:font="Symbol" w:char="F067"/>
      </w:r>
      <w:r>
        <w:rPr>
          <w:rFonts w:ascii="Times New Roman" w:hAnsi="Times New Roman" w:cs="Times New Roman"/>
          <w:i/>
          <w:iCs/>
          <w:sz w:val="22"/>
          <w:szCs w:val="22"/>
          <w:vertAlign w:val="subscript"/>
        </w:rPr>
        <w:t>z</w:t>
      </w:r>
      <w:r w:rsidRPr="00963D61">
        <w:rPr>
          <w:rFonts w:ascii="Times New Roman" w:hAnsi="Times New Roman" w:cs="Times New Roman"/>
          <w:sz w:val="22"/>
          <w:szCs w:val="22"/>
        </w:rPr>
        <w:t xml:space="preserve"> = </w:t>
      </w:r>
      <w:r>
        <w:rPr>
          <w:rFonts w:ascii="Times New Roman" w:hAnsi="Times New Roman" w:cs="Times New Roman"/>
          <w:sz w:val="22"/>
          <w:szCs w:val="22"/>
        </w:rPr>
        <w:t xml:space="preserve">zip-code </w:t>
      </w:r>
      <w:r w:rsidRPr="00963D61">
        <w:rPr>
          <w:rFonts w:ascii="Times New Roman" w:hAnsi="Times New Roman" w:cs="Times New Roman"/>
          <w:sz w:val="22"/>
          <w:szCs w:val="22"/>
        </w:rPr>
        <w:t>dummies</w:t>
      </w:r>
    </w:p>
    <w:p w14:paraId="48CB879D" w14:textId="77777777" w:rsidR="008E4132" w:rsidRDefault="008E4132" w:rsidP="008E4132">
      <w:pPr>
        <w:pStyle w:val="ListParagraph"/>
        <w:ind w:left="1440" w:right="576"/>
        <w:rPr>
          <w:rFonts w:ascii="Times New Roman" w:hAnsi="Times New Roman" w:cs="Times New Roman"/>
          <w:sz w:val="22"/>
          <w:szCs w:val="22"/>
        </w:rPr>
      </w:pPr>
    </w:p>
    <w:p w14:paraId="029E70B9" w14:textId="237FBD27" w:rsidR="008E4132" w:rsidRPr="004A6A7F" w:rsidRDefault="00F13B95" w:rsidP="004A6A7F">
      <w:pPr>
        <w:ind w:right="576"/>
        <w:rPr>
          <w:rFonts w:ascii="Times New Roman" w:hAnsi="Times New Roman" w:cs="Times New Roman"/>
          <w:sz w:val="22"/>
          <w:szCs w:val="22"/>
        </w:rPr>
      </w:pPr>
      <w:r>
        <w:rPr>
          <w:rFonts w:ascii="Times New Roman" w:hAnsi="Times New Roman" w:cs="Times New Roman"/>
          <w:sz w:val="22"/>
          <w:szCs w:val="22"/>
        </w:rPr>
        <w:t>It is important to note that</w:t>
      </w:r>
      <w:r w:rsidR="0067122B">
        <w:rPr>
          <w:rFonts w:ascii="Times New Roman" w:hAnsi="Times New Roman" w:cs="Times New Roman"/>
          <w:sz w:val="22"/>
          <w:szCs w:val="22"/>
        </w:rPr>
        <w:t xml:space="preserve"> in the presence of clearly demarcated monthly data on the moratorium treatment status, </w:t>
      </w:r>
      <w:r>
        <w:rPr>
          <w:rFonts w:ascii="Times New Roman" w:hAnsi="Times New Roman" w:cs="Times New Roman"/>
          <w:sz w:val="22"/>
          <w:szCs w:val="22"/>
        </w:rPr>
        <w:t xml:space="preserve"> </w:t>
      </w:r>
      <w:r w:rsidR="008E4132">
        <w:sym w:font="Symbol" w:char="F062"/>
      </w:r>
      <w:r w:rsidR="004A6A7F">
        <w:rPr>
          <w:vertAlign w:val="subscript"/>
        </w:rPr>
        <w:t>p</w:t>
      </w:r>
      <w:r w:rsidR="008E4132" w:rsidRPr="004A6A7F">
        <w:rPr>
          <w:rFonts w:ascii="Times New Roman" w:hAnsi="Times New Roman" w:cs="Times New Roman"/>
          <w:sz w:val="22"/>
          <w:szCs w:val="22"/>
        </w:rPr>
        <w:t xml:space="preserve"> in the </w:t>
      </w:r>
      <w:r w:rsidR="004A6A7F">
        <w:rPr>
          <w:rFonts w:ascii="Times New Roman" w:hAnsi="Times New Roman" w:cs="Times New Roman"/>
          <w:sz w:val="22"/>
          <w:szCs w:val="22"/>
        </w:rPr>
        <w:t>2</w:t>
      </w:r>
      <w:r w:rsidR="004A6A7F" w:rsidRPr="00691A38">
        <w:rPr>
          <w:rFonts w:ascii="Times New Roman" w:hAnsi="Times New Roman" w:cs="Times New Roman"/>
          <w:sz w:val="22"/>
          <w:szCs w:val="22"/>
          <w:vertAlign w:val="superscript"/>
        </w:rPr>
        <w:t>nd</w:t>
      </w:r>
      <w:r w:rsidR="008E4132" w:rsidRPr="004A6A7F">
        <w:rPr>
          <w:rFonts w:ascii="Times New Roman" w:hAnsi="Times New Roman" w:cs="Times New Roman"/>
          <w:sz w:val="22"/>
          <w:szCs w:val="22"/>
        </w:rPr>
        <w:t xml:space="preserve"> model estimates the average treatment effect on the treated. In other words, </w:t>
      </w:r>
      <w:r w:rsidR="004A6A7F">
        <w:rPr>
          <w:rFonts w:ascii="Times New Roman" w:hAnsi="Times New Roman" w:cs="Times New Roman"/>
          <w:sz w:val="22"/>
          <w:szCs w:val="22"/>
        </w:rPr>
        <w:t xml:space="preserve">it </w:t>
      </w:r>
      <w:r w:rsidR="0067122B">
        <w:rPr>
          <w:rFonts w:ascii="Times New Roman" w:hAnsi="Times New Roman" w:cs="Times New Roman"/>
          <w:sz w:val="22"/>
          <w:szCs w:val="22"/>
        </w:rPr>
        <w:t xml:space="preserve">would </w:t>
      </w:r>
      <w:r w:rsidR="004A6A7F">
        <w:rPr>
          <w:rFonts w:ascii="Times New Roman" w:hAnsi="Times New Roman" w:cs="Times New Roman"/>
          <w:sz w:val="22"/>
          <w:szCs w:val="22"/>
        </w:rPr>
        <w:t xml:space="preserve">estimate the change in earned premium </w:t>
      </w:r>
      <w:proofErr w:type="gramStart"/>
      <w:r w:rsidR="004A6A7F">
        <w:rPr>
          <w:rFonts w:ascii="Times New Roman" w:hAnsi="Times New Roman" w:cs="Times New Roman"/>
          <w:sz w:val="22"/>
          <w:szCs w:val="22"/>
        </w:rPr>
        <w:t>as a result of</w:t>
      </w:r>
      <w:proofErr w:type="gramEnd"/>
      <w:r w:rsidR="004A6A7F">
        <w:rPr>
          <w:rFonts w:ascii="Times New Roman" w:hAnsi="Times New Roman" w:cs="Times New Roman"/>
          <w:sz w:val="22"/>
          <w:szCs w:val="22"/>
        </w:rPr>
        <w:t xml:space="preserve"> the insurance non-renewal moratorium in place. </w:t>
      </w:r>
      <w:r w:rsidR="0067122B">
        <w:rPr>
          <w:rFonts w:ascii="Times New Roman" w:hAnsi="Times New Roman" w:cs="Times New Roman"/>
          <w:sz w:val="22"/>
          <w:szCs w:val="22"/>
        </w:rPr>
        <w:t>However, given that the data is only available at the annual frequency while the treatment occurred at the month level, the estimation above doesn’t provide conclusive proof and only allows suggestive estimation of the effect of the moratorium.</w:t>
      </w:r>
      <w:r w:rsidR="004A6A7F">
        <w:rPr>
          <w:rFonts w:ascii="Times New Roman" w:hAnsi="Times New Roman" w:cs="Times New Roman"/>
          <w:sz w:val="22"/>
          <w:szCs w:val="22"/>
        </w:rPr>
        <w:t xml:space="preserve"> </w:t>
      </w:r>
      <w:r w:rsidR="0048605B">
        <w:rPr>
          <w:rFonts w:ascii="Times New Roman" w:hAnsi="Times New Roman" w:cs="Times New Roman"/>
          <w:sz w:val="22"/>
          <w:szCs w:val="22"/>
        </w:rPr>
        <w:t>The log transformations of the outcomes help</w:t>
      </w:r>
      <w:r w:rsidR="0067122B">
        <w:rPr>
          <w:rFonts w:ascii="Times New Roman" w:hAnsi="Times New Roman" w:cs="Times New Roman"/>
          <w:sz w:val="22"/>
          <w:szCs w:val="22"/>
        </w:rPr>
        <w:t xml:space="preserve"> with the percentage-change interpretation of the very large raw premium changes.</w:t>
      </w:r>
    </w:p>
    <w:p w14:paraId="3473803B" w14:textId="77777777" w:rsidR="00453063" w:rsidRPr="00F13B95" w:rsidRDefault="00453063" w:rsidP="00F13B95">
      <w:pPr>
        <w:ind w:right="576"/>
        <w:rPr>
          <w:rFonts w:ascii="Times New Roman" w:hAnsi="Times New Roman" w:cs="Times New Roman"/>
          <w:sz w:val="22"/>
          <w:szCs w:val="22"/>
        </w:rPr>
      </w:pPr>
    </w:p>
    <w:p w14:paraId="688590C8" w14:textId="65B0387A" w:rsidR="00626C0B" w:rsidRPr="00453063" w:rsidRDefault="00270197" w:rsidP="00453063">
      <w:pPr>
        <w:pStyle w:val="ListParagraph"/>
        <w:ind w:left="0" w:right="576"/>
        <w:rPr>
          <w:rFonts w:ascii="Times New Roman" w:hAnsi="Times New Roman" w:cs="Times New Roman"/>
          <w:sz w:val="22"/>
          <w:szCs w:val="22"/>
        </w:rPr>
      </w:pPr>
      <w:r>
        <w:rPr>
          <w:rFonts w:ascii="Times New Roman" w:hAnsi="Times New Roman" w:cs="Times New Roman"/>
          <w:sz w:val="22"/>
          <w:szCs w:val="22"/>
          <w:u w:val="single"/>
        </w:rPr>
        <w:t>Results</w:t>
      </w:r>
    </w:p>
    <w:p w14:paraId="22A0B19B" w14:textId="78523422" w:rsidR="009556BD" w:rsidRDefault="009556BD" w:rsidP="00DA6A0A">
      <w:pPr>
        <w:jc w:val="both"/>
        <w:rPr>
          <w:rFonts w:ascii="Times New Roman" w:hAnsi="Times New Roman" w:cs="Times New Roman"/>
          <w:sz w:val="22"/>
          <w:szCs w:val="22"/>
          <w:u w:val="single"/>
        </w:rPr>
      </w:pPr>
    </w:p>
    <w:p w14:paraId="6419695D" w14:textId="27DA48F8" w:rsidR="009E0FC1" w:rsidRDefault="009556BD" w:rsidP="00DA6A0A">
      <w:pPr>
        <w:jc w:val="both"/>
        <w:rPr>
          <w:rFonts w:ascii="Times New Roman" w:hAnsi="Times New Roman" w:cs="Times New Roman"/>
          <w:sz w:val="22"/>
          <w:szCs w:val="22"/>
        </w:rPr>
      </w:pPr>
      <w:r>
        <w:rPr>
          <w:rFonts w:ascii="Times New Roman" w:hAnsi="Times New Roman" w:cs="Times New Roman"/>
          <w:sz w:val="22"/>
          <w:szCs w:val="22"/>
        </w:rPr>
        <w:t>Columns (1) and (2)</w:t>
      </w:r>
      <w:r w:rsidR="008550BA">
        <w:rPr>
          <w:rFonts w:ascii="Times New Roman" w:hAnsi="Times New Roman" w:cs="Times New Roman"/>
          <w:sz w:val="22"/>
          <w:szCs w:val="22"/>
        </w:rPr>
        <w:t xml:space="preserve"> of table 4 show the results from regressing earned insurance premium on the moratorium indicator across various subsets of zip-codes in the short panel (2018-2020), while columns (3) and (4) correspond to the same regressions from the long panel (2018-2021). It is important to note that each of the results in each cell correspond to different regressions, whose sample subsets are mentioned to the left.</w:t>
      </w:r>
      <w:r w:rsidR="006E0715">
        <w:rPr>
          <w:rFonts w:ascii="Times New Roman" w:hAnsi="Times New Roman" w:cs="Times New Roman"/>
          <w:sz w:val="22"/>
          <w:szCs w:val="22"/>
        </w:rPr>
        <w:t xml:space="preserve"> Table 5 is structured </w:t>
      </w:r>
      <w:proofErr w:type="gramStart"/>
      <w:r w:rsidR="006E0715">
        <w:rPr>
          <w:rFonts w:ascii="Times New Roman" w:hAnsi="Times New Roman" w:cs="Times New Roman"/>
          <w:sz w:val="22"/>
          <w:szCs w:val="22"/>
        </w:rPr>
        <w:t>similar to</w:t>
      </w:r>
      <w:proofErr w:type="gramEnd"/>
      <w:r w:rsidR="006E0715">
        <w:rPr>
          <w:rFonts w:ascii="Times New Roman" w:hAnsi="Times New Roman" w:cs="Times New Roman"/>
          <w:sz w:val="22"/>
          <w:szCs w:val="22"/>
        </w:rPr>
        <w:t xml:space="preserve"> Table </w:t>
      </w:r>
      <w:r w:rsidR="003F307D">
        <w:rPr>
          <w:rFonts w:ascii="Times New Roman" w:hAnsi="Times New Roman" w:cs="Times New Roman"/>
          <w:sz w:val="22"/>
          <w:szCs w:val="22"/>
        </w:rPr>
        <w:t>4 but</w:t>
      </w:r>
      <w:r w:rsidR="006E0715">
        <w:rPr>
          <w:rFonts w:ascii="Times New Roman" w:hAnsi="Times New Roman" w:cs="Times New Roman"/>
          <w:sz w:val="22"/>
          <w:szCs w:val="22"/>
        </w:rPr>
        <w:t xml:space="preserve"> </w:t>
      </w:r>
      <w:r w:rsidR="003F307D">
        <w:rPr>
          <w:rFonts w:ascii="Times New Roman" w:hAnsi="Times New Roman" w:cs="Times New Roman"/>
          <w:sz w:val="22"/>
          <w:szCs w:val="22"/>
        </w:rPr>
        <w:t xml:space="preserve">only </w:t>
      </w:r>
      <w:r w:rsidR="006E0715">
        <w:rPr>
          <w:rFonts w:ascii="Times New Roman" w:hAnsi="Times New Roman" w:cs="Times New Roman"/>
          <w:sz w:val="22"/>
          <w:szCs w:val="22"/>
        </w:rPr>
        <w:t xml:space="preserve">reports the exact percentage changes in the outcome for the regression results that are significant. </w:t>
      </w:r>
    </w:p>
    <w:p w14:paraId="4601F6A8" w14:textId="77777777" w:rsidR="00AD6F50" w:rsidRDefault="00AD6F50" w:rsidP="00DA6A0A">
      <w:pPr>
        <w:jc w:val="both"/>
        <w:rPr>
          <w:rFonts w:ascii="Times New Roman" w:hAnsi="Times New Roman" w:cs="Times New Roman"/>
          <w:sz w:val="22"/>
          <w:szCs w:val="22"/>
        </w:rPr>
      </w:pPr>
    </w:p>
    <w:p w14:paraId="4680C766" w14:textId="02947637" w:rsidR="0048605B" w:rsidRPr="0048605B" w:rsidRDefault="0048605B" w:rsidP="005E6DC3">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 xml:space="preserve">Table 4: Regression results of change in earned premium from both short and long </w:t>
      </w:r>
      <w:proofErr w:type="gramStart"/>
      <w:r w:rsidRPr="0048605B">
        <w:rPr>
          <w:rFonts w:ascii="Times New Roman" w:hAnsi="Times New Roman" w:cs="Times New Roman"/>
          <w:color w:val="000000" w:themeColor="text1"/>
          <w:sz w:val="22"/>
          <w:szCs w:val="22"/>
        </w:rPr>
        <w:t>panel</w:t>
      </w:r>
      <w:proofErr w:type="gramEnd"/>
    </w:p>
    <w:p w14:paraId="556E72D7" w14:textId="77777777" w:rsidR="0048605B" w:rsidRPr="0048605B" w:rsidRDefault="0048605B" w:rsidP="0048605B">
      <w:pPr>
        <w:jc w:val="center"/>
        <w:rPr>
          <w:rFonts w:ascii="Times New Roman" w:hAnsi="Times New Roman" w:cs="Times New Roman"/>
          <w:color w:val="000000" w:themeColor="text1"/>
          <w:sz w:val="22"/>
          <w:szCs w:val="22"/>
        </w:rPr>
      </w:pPr>
    </w:p>
    <w:tbl>
      <w:tblPr>
        <w:tblStyle w:val="TableGrid"/>
        <w:tblW w:w="9985" w:type="dxa"/>
        <w:tblLook w:val="04A0" w:firstRow="1" w:lastRow="0" w:firstColumn="1" w:lastColumn="0" w:noHBand="0" w:noVBand="1"/>
      </w:tblPr>
      <w:tblGrid>
        <w:gridCol w:w="4731"/>
        <w:gridCol w:w="1348"/>
        <w:gridCol w:w="1296"/>
        <w:gridCol w:w="1350"/>
        <w:gridCol w:w="1260"/>
      </w:tblGrid>
      <w:tr w:rsidR="0048605B" w:rsidRPr="0048605B" w14:paraId="1013A84E" w14:textId="77777777" w:rsidTr="007D1FBF">
        <w:trPr>
          <w:trHeight w:val="296"/>
        </w:trPr>
        <w:tc>
          <w:tcPr>
            <w:tcW w:w="4731" w:type="dxa"/>
            <w:vMerge w:val="restart"/>
            <w:tcBorders>
              <w:bottom w:val="nil"/>
              <w:right w:val="nil"/>
            </w:tcBorders>
            <w:vAlign w:val="center"/>
          </w:tcPr>
          <w:p w14:paraId="09387355" w14:textId="77777777" w:rsidR="0048605B" w:rsidRPr="007D1FBF" w:rsidRDefault="0048605B" w:rsidP="00A55035">
            <w:pPr>
              <w:jc w:val="center"/>
              <w:rPr>
                <w:rFonts w:ascii="Times New Roman" w:hAnsi="Times New Roman" w:cs="Times New Roman"/>
                <w:b/>
                <w:bCs/>
                <w:color w:val="000000" w:themeColor="text1"/>
                <w:sz w:val="22"/>
                <w:szCs w:val="22"/>
              </w:rPr>
            </w:pPr>
            <w:r w:rsidRPr="007D1FBF">
              <w:rPr>
                <w:rFonts w:ascii="Times New Roman" w:hAnsi="Times New Roman" w:cs="Times New Roman"/>
                <w:b/>
                <w:bCs/>
                <w:color w:val="000000" w:themeColor="text1"/>
                <w:sz w:val="22"/>
                <w:szCs w:val="22"/>
              </w:rPr>
              <w:t>Outcome: Earned Insurance Premium</w:t>
            </w:r>
          </w:p>
          <w:p w14:paraId="55AD3375" w14:textId="77777777" w:rsidR="0048605B" w:rsidRPr="0048605B" w:rsidRDefault="0048605B" w:rsidP="00A55035">
            <w:pPr>
              <w:jc w:val="center"/>
              <w:rPr>
                <w:rFonts w:ascii="Times New Roman" w:hAnsi="Times New Roman" w:cs="Times New Roman"/>
                <w:color w:val="000000" w:themeColor="text1"/>
                <w:sz w:val="22"/>
                <w:szCs w:val="22"/>
              </w:rPr>
            </w:pPr>
          </w:p>
        </w:tc>
        <w:tc>
          <w:tcPr>
            <w:tcW w:w="2644" w:type="dxa"/>
            <w:gridSpan w:val="2"/>
            <w:tcBorders>
              <w:left w:val="nil"/>
              <w:bottom w:val="nil"/>
              <w:right w:val="nil"/>
            </w:tcBorders>
            <w:vAlign w:val="center"/>
          </w:tcPr>
          <w:p w14:paraId="709BF674"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Short Panel</w:t>
            </w:r>
          </w:p>
          <w:p w14:paraId="2A4AB003"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(2018-2020)</w:t>
            </w:r>
          </w:p>
          <w:p w14:paraId="0E4F1DE9" w14:textId="77777777" w:rsidR="0048605B" w:rsidRPr="0048605B" w:rsidRDefault="0048605B" w:rsidP="00A55035">
            <w:pPr>
              <w:jc w:val="center"/>
              <w:rPr>
                <w:rFonts w:ascii="Times New Roman" w:hAnsi="Times New Roman" w:cs="Times New Roman"/>
                <w:color w:val="000000" w:themeColor="text1"/>
                <w:sz w:val="22"/>
                <w:szCs w:val="22"/>
              </w:rPr>
            </w:pPr>
          </w:p>
        </w:tc>
        <w:tc>
          <w:tcPr>
            <w:tcW w:w="2610" w:type="dxa"/>
            <w:gridSpan w:val="2"/>
            <w:tcBorders>
              <w:left w:val="nil"/>
              <w:bottom w:val="nil"/>
            </w:tcBorders>
          </w:tcPr>
          <w:p w14:paraId="0C3B3DAD"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Long Panel</w:t>
            </w:r>
          </w:p>
          <w:p w14:paraId="57B9DB01"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(2018-2021)</w:t>
            </w:r>
          </w:p>
        </w:tc>
      </w:tr>
      <w:tr w:rsidR="0048605B" w:rsidRPr="0048605B" w14:paraId="0841B812" w14:textId="77777777" w:rsidTr="007D1FBF">
        <w:tc>
          <w:tcPr>
            <w:tcW w:w="4731" w:type="dxa"/>
            <w:vMerge/>
            <w:tcBorders>
              <w:bottom w:val="single" w:sz="4" w:space="0" w:color="auto"/>
              <w:right w:val="nil"/>
            </w:tcBorders>
            <w:vAlign w:val="center"/>
          </w:tcPr>
          <w:p w14:paraId="5D2C843D" w14:textId="77777777" w:rsidR="0048605B" w:rsidRPr="0048605B" w:rsidRDefault="0048605B" w:rsidP="00A55035">
            <w:pPr>
              <w:jc w:val="center"/>
              <w:rPr>
                <w:rFonts w:ascii="Times New Roman" w:hAnsi="Times New Roman" w:cs="Times New Roman"/>
                <w:color w:val="000000" w:themeColor="text1"/>
                <w:sz w:val="22"/>
                <w:szCs w:val="22"/>
              </w:rPr>
            </w:pPr>
          </w:p>
        </w:tc>
        <w:tc>
          <w:tcPr>
            <w:tcW w:w="1348" w:type="dxa"/>
            <w:tcBorders>
              <w:top w:val="nil"/>
              <w:left w:val="nil"/>
              <w:bottom w:val="nil"/>
              <w:right w:val="nil"/>
            </w:tcBorders>
            <w:vAlign w:val="center"/>
          </w:tcPr>
          <w:p w14:paraId="0FD9F214"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(1)</w:t>
            </w:r>
          </w:p>
        </w:tc>
        <w:tc>
          <w:tcPr>
            <w:tcW w:w="1296" w:type="dxa"/>
            <w:tcBorders>
              <w:top w:val="nil"/>
              <w:left w:val="nil"/>
              <w:bottom w:val="nil"/>
              <w:right w:val="nil"/>
            </w:tcBorders>
            <w:vAlign w:val="center"/>
          </w:tcPr>
          <w:p w14:paraId="37289B8B"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(2)</w:t>
            </w:r>
          </w:p>
        </w:tc>
        <w:tc>
          <w:tcPr>
            <w:tcW w:w="1350" w:type="dxa"/>
            <w:tcBorders>
              <w:top w:val="nil"/>
              <w:left w:val="nil"/>
              <w:bottom w:val="nil"/>
              <w:right w:val="nil"/>
            </w:tcBorders>
            <w:vAlign w:val="center"/>
          </w:tcPr>
          <w:p w14:paraId="2BE3F8C4"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(3)</w:t>
            </w:r>
          </w:p>
        </w:tc>
        <w:tc>
          <w:tcPr>
            <w:tcW w:w="1260" w:type="dxa"/>
            <w:tcBorders>
              <w:top w:val="nil"/>
              <w:left w:val="nil"/>
              <w:bottom w:val="nil"/>
            </w:tcBorders>
            <w:vAlign w:val="center"/>
          </w:tcPr>
          <w:p w14:paraId="63CB45CD"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(4)</w:t>
            </w:r>
          </w:p>
        </w:tc>
      </w:tr>
      <w:tr w:rsidR="0048605B" w:rsidRPr="0048605B" w14:paraId="18635E24" w14:textId="77777777" w:rsidTr="007D1FBF">
        <w:tc>
          <w:tcPr>
            <w:tcW w:w="4731" w:type="dxa"/>
            <w:tcBorders>
              <w:bottom w:val="nil"/>
              <w:right w:val="nil"/>
            </w:tcBorders>
            <w:vAlign w:val="center"/>
          </w:tcPr>
          <w:p w14:paraId="5C3F41E9" w14:textId="77777777"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1"/>
                <w:szCs w:val="21"/>
              </w:rPr>
              <w:t>Moratorium on insurance non-renewal</w:t>
            </w:r>
          </w:p>
        </w:tc>
        <w:tc>
          <w:tcPr>
            <w:tcW w:w="1348" w:type="dxa"/>
            <w:tcBorders>
              <w:top w:val="nil"/>
              <w:left w:val="nil"/>
              <w:bottom w:val="nil"/>
              <w:right w:val="nil"/>
            </w:tcBorders>
            <w:vAlign w:val="center"/>
          </w:tcPr>
          <w:p w14:paraId="01D06A67" w14:textId="77777777" w:rsidR="0048605B" w:rsidRPr="0048605B" w:rsidRDefault="0048605B" w:rsidP="00A55035">
            <w:pPr>
              <w:jc w:val="center"/>
              <w:rPr>
                <w:rFonts w:ascii="Times New Roman" w:hAnsi="Times New Roman" w:cs="Times New Roman"/>
                <w:color w:val="000000" w:themeColor="text1"/>
                <w:sz w:val="22"/>
                <w:szCs w:val="22"/>
              </w:rPr>
            </w:pPr>
          </w:p>
        </w:tc>
        <w:tc>
          <w:tcPr>
            <w:tcW w:w="1296" w:type="dxa"/>
            <w:tcBorders>
              <w:top w:val="nil"/>
              <w:left w:val="nil"/>
              <w:bottom w:val="nil"/>
              <w:right w:val="nil"/>
            </w:tcBorders>
            <w:vAlign w:val="center"/>
          </w:tcPr>
          <w:p w14:paraId="338EB454" w14:textId="77777777" w:rsidR="0048605B" w:rsidRPr="0048605B" w:rsidRDefault="0048605B" w:rsidP="00A55035">
            <w:pPr>
              <w:jc w:val="center"/>
              <w:rPr>
                <w:rFonts w:ascii="Times New Roman" w:hAnsi="Times New Roman" w:cs="Times New Roman"/>
                <w:color w:val="000000" w:themeColor="text1"/>
                <w:sz w:val="22"/>
                <w:szCs w:val="22"/>
              </w:rPr>
            </w:pPr>
          </w:p>
        </w:tc>
        <w:tc>
          <w:tcPr>
            <w:tcW w:w="1350" w:type="dxa"/>
            <w:tcBorders>
              <w:top w:val="nil"/>
              <w:left w:val="nil"/>
              <w:bottom w:val="nil"/>
              <w:right w:val="nil"/>
            </w:tcBorders>
            <w:vAlign w:val="center"/>
          </w:tcPr>
          <w:p w14:paraId="04A8DC3A" w14:textId="77777777" w:rsidR="0048605B" w:rsidRPr="0048605B" w:rsidRDefault="0048605B" w:rsidP="00A55035">
            <w:pPr>
              <w:jc w:val="center"/>
              <w:rPr>
                <w:rFonts w:ascii="Times New Roman" w:hAnsi="Times New Roman" w:cs="Times New Roman"/>
                <w:color w:val="000000" w:themeColor="text1"/>
                <w:sz w:val="22"/>
                <w:szCs w:val="22"/>
              </w:rPr>
            </w:pPr>
          </w:p>
        </w:tc>
        <w:tc>
          <w:tcPr>
            <w:tcW w:w="1260" w:type="dxa"/>
            <w:tcBorders>
              <w:top w:val="nil"/>
              <w:left w:val="nil"/>
              <w:bottom w:val="nil"/>
            </w:tcBorders>
            <w:vAlign w:val="center"/>
          </w:tcPr>
          <w:p w14:paraId="5D156227" w14:textId="77777777" w:rsidR="0048605B" w:rsidRPr="0048605B" w:rsidRDefault="0048605B" w:rsidP="00A55035">
            <w:pPr>
              <w:jc w:val="center"/>
              <w:rPr>
                <w:rFonts w:ascii="Times New Roman" w:hAnsi="Times New Roman" w:cs="Times New Roman"/>
                <w:color w:val="000000" w:themeColor="text1"/>
                <w:sz w:val="22"/>
                <w:szCs w:val="22"/>
              </w:rPr>
            </w:pPr>
          </w:p>
        </w:tc>
      </w:tr>
      <w:tr w:rsidR="0048605B" w:rsidRPr="0048605B" w14:paraId="29EEB9D2" w14:textId="77777777" w:rsidTr="007D1FBF">
        <w:tc>
          <w:tcPr>
            <w:tcW w:w="4731" w:type="dxa"/>
            <w:tcBorders>
              <w:top w:val="nil"/>
              <w:bottom w:val="nil"/>
              <w:right w:val="nil"/>
            </w:tcBorders>
            <w:vAlign w:val="center"/>
          </w:tcPr>
          <w:p w14:paraId="371F5B1A" w14:textId="77777777" w:rsidR="0048605B" w:rsidRPr="0048605B" w:rsidRDefault="0048605B" w:rsidP="00A55035">
            <w:pPr>
              <w:jc w:val="center"/>
              <w:rPr>
                <w:rFonts w:ascii="Times New Roman" w:hAnsi="Times New Roman" w:cs="Times New Roman"/>
                <w:color w:val="000000" w:themeColor="text1"/>
                <w:sz w:val="21"/>
                <w:szCs w:val="21"/>
              </w:rPr>
            </w:pPr>
            <w:r w:rsidRPr="0048605B">
              <w:rPr>
                <w:rFonts w:ascii="Times New Roman" w:hAnsi="Times New Roman" w:cs="Times New Roman"/>
                <w:color w:val="000000" w:themeColor="text1"/>
                <w:sz w:val="21"/>
                <w:szCs w:val="21"/>
              </w:rPr>
              <w:t>Subset: Z</w:t>
            </w:r>
            <w:r w:rsidRPr="0048605B">
              <w:rPr>
                <w:rFonts w:ascii="Times New Roman" w:hAnsi="Times New Roman" w:cs="Times New Roman"/>
                <w:color w:val="000000" w:themeColor="text1"/>
                <w:sz w:val="22"/>
                <w:szCs w:val="22"/>
              </w:rPr>
              <w:t>ip-codes that had claims made for</w:t>
            </w:r>
          </w:p>
        </w:tc>
        <w:tc>
          <w:tcPr>
            <w:tcW w:w="1348" w:type="dxa"/>
            <w:tcBorders>
              <w:top w:val="nil"/>
              <w:left w:val="nil"/>
              <w:bottom w:val="nil"/>
              <w:right w:val="nil"/>
            </w:tcBorders>
            <w:vAlign w:val="center"/>
          </w:tcPr>
          <w:p w14:paraId="48F6CDFC" w14:textId="77777777" w:rsidR="0048605B" w:rsidRPr="0048605B" w:rsidRDefault="0048605B" w:rsidP="00A55035">
            <w:pPr>
              <w:jc w:val="center"/>
              <w:rPr>
                <w:rFonts w:ascii="Times New Roman" w:hAnsi="Times New Roman" w:cs="Times New Roman"/>
                <w:color w:val="000000" w:themeColor="text1"/>
                <w:sz w:val="22"/>
                <w:szCs w:val="22"/>
              </w:rPr>
            </w:pPr>
          </w:p>
        </w:tc>
        <w:tc>
          <w:tcPr>
            <w:tcW w:w="1296" w:type="dxa"/>
            <w:tcBorders>
              <w:top w:val="nil"/>
              <w:left w:val="nil"/>
              <w:bottom w:val="nil"/>
              <w:right w:val="nil"/>
            </w:tcBorders>
            <w:vAlign w:val="center"/>
          </w:tcPr>
          <w:p w14:paraId="3F4918B6" w14:textId="77777777" w:rsidR="0048605B" w:rsidRPr="0048605B" w:rsidRDefault="0048605B" w:rsidP="00A55035">
            <w:pPr>
              <w:rPr>
                <w:rFonts w:ascii="Times New Roman" w:hAnsi="Times New Roman" w:cs="Times New Roman"/>
                <w:color w:val="000000" w:themeColor="text1"/>
                <w:sz w:val="22"/>
                <w:szCs w:val="22"/>
              </w:rPr>
            </w:pPr>
          </w:p>
        </w:tc>
        <w:tc>
          <w:tcPr>
            <w:tcW w:w="1350" w:type="dxa"/>
            <w:tcBorders>
              <w:top w:val="nil"/>
              <w:left w:val="nil"/>
              <w:bottom w:val="nil"/>
              <w:right w:val="nil"/>
            </w:tcBorders>
            <w:vAlign w:val="center"/>
          </w:tcPr>
          <w:p w14:paraId="7245C1A0" w14:textId="77777777" w:rsidR="0048605B" w:rsidRPr="0048605B" w:rsidRDefault="0048605B" w:rsidP="00A55035">
            <w:pPr>
              <w:jc w:val="center"/>
              <w:rPr>
                <w:rFonts w:ascii="Times New Roman" w:hAnsi="Times New Roman" w:cs="Times New Roman"/>
                <w:color w:val="000000" w:themeColor="text1"/>
                <w:sz w:val="22"/>
                <w:szCs w:val="22"/>
              </w:rPr>
            </w:pPr>
          </w:p>
        </w:tc>
        <w:tc>
          <w:tcPr>
            <w:tcW w:w="1260" w:type="dxa"/>
            <w:tcBorders>
              <w:top w:val="nil"/>
              <w:left w:val="nil"/>
              <w:bottom w:val="nil"/>
            </w:tcBorders>
            <w:vAlign w:val="center"/>
          </w:tcPr>
          <w:p w14:paraId="79220A36" w14:textId="77777777" w:rsidR="0048605B" w:rsidRPr="0048605B" w:rsidRDefault="0048605B" w:rsidP="00A55035">
            <w:pPr>
              <w:jc w:val="center"/>
              <w:rPr>
                <w:rFonts w:ascii="Times New Roman" w:hAnsi="Times New Roman" w:cs="Times New Roman"/>
                <w:color w:val="000000" w:themeColor="text1"/>
                <w:sz w:val="22"/>
                <w:szCs w:val="22"/>
              </w:rPr>
            </w:pPr>
          </w:p>
        </w:tc>
      </w:tr>
      <w:tr w:rsidR="0048605B" w:rsidRPr="0048605B" w14:paraId="659E10A8" w14:textId="77777777" w:rsidTr="007D1FBF">
        <w:trPr>
          <w:trHeight w:val="73"/>
        </w:trPr>
        <w:tc>
          <w:tcPr>
            <w:tcW w:w="4731" w:type="dxa"/>
            <w:tcBorders>
              <w:top w:val="nil"/>
              <w:bottom w:val="nil"/>
              <w:right w:val="nil"/>
            </w:tcBorders>
            <w:vAlign w:val="center"/>
          </w:tcPr>
          <w:p w14:paraId="465B7F09" w14:textId="77777777" w:rsidR="0048605B" w:rsidRPr="0048605B" w:rsidRDefault="0048605B" w:rsidP="00A55035">
            <w:pPr>
              <w:jc w:val="center"/>
              <w:rPr>
                <w:rFonts w:ascii="Times New Roman" w:hAnsi="Times New Roman" w:cs="Times New Roman"/>
                <w:color w:val="000000" w:themeColor="text1"/>
                <w:sz w:val="20"/>
                <w:szCs w:val="20"/>
              </w:rPr>
            </w:pPr>
          </w:p>
        </w:tc>
        <w:tc>
          <w:tcPr>
            <w:tcW w:w="1348" w:type="dxa"/>
            <w:tcBorders>
              <w:top w:val="nil"/>
              <w:left w:val="nil"/>
              <w:bottom w:val="single" w:sz="4" w:space="0" w:color="auto"/>
              <w:right w:val="nil"/>
            </w:tcBorders>
            <w:vAlign w:val="center"/>
          </w:tcPr>
          <w:p w14:paraId="3F255CA1" w14:textId="729C5147" w:rsidR="0048605B" w:rsidRPr="0048605B" w:rsidRDefault="0048605B" w:rsidP="00A55035">
            <w:pPr>
              <w:jc w:val="center"/>
              <w:rPr>
                <w:rFonts w:ascii="Times New Roman" w:hAnsi="Times New Roman" w:cs="Times New Roman"/>
                <w:color w:val="000000" w:themeColor="text1"/>
                <w:sz w:val="22"/>
                <w:szCs w:val="22"/>
              </w:rPr>
            </w:pPr>
          </w:p>
        </w:tc>
        <w:tc>
          <w:tcPr>
            <w:tcW w:w="1296" w:type="dxa"/>
            <w:tcBorders>
              <w:top w:val="nil"/>
              <w:left w:val="nil"/>
              <w:bottom w:val="single" w:sz="4" w:space="0" w:color="auto"/>
              <w:right w:val="nil"/>
            </w:tcBorders>
            <w:vAlign w:val="center"/>
          </w:tcPr>
          <w:p w14:paraId="175F5698" w14:textId="77777777" w:rsidR="0048605B" w:rsidRPr="0048605B" w:rsidRDefault="0048605B" w:rsidP="00A55035">
            <w:pPr>
              <w:jc w:val="center"/>
              <w:rPr>
                <w:rFonts w:ascii="Times New Roman" w:hAnsi="Times New Roman" w:cs="Times New Roman"/>
                <w:color w:val="000000" w:themeColor="text1"/>
                <w:sz w:val="22"/>
                <w:szCs w:val="22"/>
              </w:rPr>
            </w:pPr>
          </w:p>
        </w:tc>
        <w:tc>
          <w:tcPr>
            <w:tcW w:w="1350" w:type="dxa"/>
            <w:tcBorders>
              <w:top w:val="nil"/>
              <w:left w:val="nil"/>
              <w:bottom w:val="single" w:sz="4" w:space="0" w:color="auto"/>
              <w:right w:val="nil"/>
            </w:tcBorders>
            <w:vAlign w:val="center"/>
          </w:tcPr>
          <w:p w14:paraId="3F89D159" w14:textId="77777777" w:rsidR="0048605B" w:rsidRPr="0048605B" w:rsidRDefault="0048605B" w:rsidP="00A55035">
            <w:pPr>
              <w:jc w:val="center"/>
              <w:rPr>
                <w:rFonts w:ascii="Times New Roman" w:hAnsi="Times New Roman" w:cs="Times New Roman"/>
                <w:color w:val="000000" w:themeColor="text1"/>
                <w:sz w:val="22"/>
                <w:szCs w:val="22"/>
              </w:rPr>
            </w:pPr>
          </w:p>
        </w:tc>
        <w:tc>
          <w:tcPr>
            <w:tcW w:w="1260" w:type="dxa"/>
            <w:tcBorders>
              <w:top w:val="nil"/>
              <w:left w:val="nil"/>
              <w:bottom w:val="single" w:sz="4" w:space="0" w:color="auto"/>
            </w:tcBorders>
            <w:vAlign w:val="center"/>
          </w:tcPr>
          <w:p w14:paraId="25310BCA" w14:textId="77777777" w:rsidR="0048605B" w:rsidRPr="0048605B" w:rsidRDefault="0048605B" w:rsidP="00A55035">
            <w:pPr>
              <w:jc w:val="center"/>
              <w:rPr>
                <w:rFonts w:ascii="Times New Roman" w:hAnsi="Times New Roman" w:cs="Times New Roman"/>
                <w:color w:val="000000" w:themeColor="text1"/>
                <w:sz w:val="22"/>
                <w:szCs w:val="22"/>
              </w:rPr>
            </w:pPr>
          </w:p>
        </w:tc>
      </w:tr>
      <w:tr w:rsidR="0048605B" w:rsidRPr="0048605B" w14:paraId="27CBD8C7" w14:textId="77777777" w:rsidTr="007D1FBF">
        <w:tc>
          <w:tcPr>
            <w:tcW w:w="4731" w:type="dxa"/>
            <w:vAlign w:val="center"/>
          </w:tcPr>
          <w:p w14:paraId="1AACFE1D"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Homeowner’s Non-Catastrophic Structural Fire Damage</w:t>
            </w:r>
          </w:p>
        </w:tc>
        <w:tc>
          <w:tcPr>
            <w:tcW w:w="1348" w:type="dxa"/>
            <w:tcBorders>
              <w:top w:val="single" w:sz="4" w:space="0" w:color="auto"/>
            </w:tcBorders>
            <w:vAlign w:val="center"/>
          </w:tcPr>
          <w:p w14:paraId="23F2448E" w14:textId="6352D7A0" w:rsidR="00C75E7D" w:rsidRDefault="00C75E7D"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w:t>
            </w:r>
          </w:p>
          <w:p w14:paraId="22CD755C" w14:textId="4C14F6DE"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C75E7D">
              <w:rPr>
                <w:rFonts w:ascii="Times New Roman" w:hAnsi="Times New Roman" w:cs="Times New Roman"/>
                <w:color w:val="000000" w:themeColor="text1"/>
                <w:sz w:val="20"/>
                <w:szCs w:val="20"/>
              </w:rPr>
              <w:t>0.01</w:t>
            </w:r>
            <w:r w:rsidRPr="0048605B">
              <w:rPr>
                <w:rFonts w:ascii="Times New Roman" w:hAnsi="Times New Roman" w:cs="Times New Roman"/>
                <w:color w:val="000000" w:themeColor="text1"/>
                <w:sz w:val="20"/>
                <w:szCs w:val="20"/>
              </w:rPr>
              <w:t>)</w:t>
            </w:r>
          </w:p>
        </w:tc>
        <w:tc>
          <w:tcPr>
            <w:tcW w:w="1296" w:type="dxa"/>
            <w:tcBorders>
              <w:top w:val="single" w:sz="4" w:space="0" w:color="auto"/>
            </w:tcBorders>
            <w:vAlign w:val="center"/>
          </w:tcPr>
          <w:p w14:paraId="151C856D" w14:textId="548250E8" w:rsidR="00C75E7D" w:rsidRDefault="001E4232"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w:t>
            </w:r>
          </w:p>
          <w:p w14:paraId="329A1331" w14:textId="2CCD0110"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E4232">
              <w:rPr>
                <w:rFonts w:ascii="Times New Roman" w:hAnsi="Times New Roman" w:cs="Times New Roman"/>
                <w:color w:val="000000" w:themeColor="text1"/>
                <w:sz w:val="20"/>
                <w:szCs w:val="20"/>
              </w:rPr>
              <w:t>0.01</w:t>
            </w:r>
            <w:r w:rsidRPr="0048605B">
              <w:rPr>
                <w:rFonts w:ascii="Times New Roman" w:hAnsi="Times New Roman" w:cs="Times New Roman"/>
                <w:color w:val="000000" w:themeColor="text1"/>
                <w:sz w:val="20"/>
                <w:szCs w:val="20"/>
              </w:rPr>
              <w:t>)</w:t>
            </w:r>
          </w:p>
        </w:tc>
        <w:tc>
          <w:tcPr>
            <w:tcW w:w="1350" w:type="dxa"/>
            <w:tcBorders>
              <w:top w:val="single" w:sz="4" w:space="0" w:color="auto"/>
            </w:tcBorders>
            <w:vAlign w:val="center"/>
          </w:tcPr>
          <w:p w14:paraId="5BDEFA38" w14:textId="0540018D" w:rsidR="0048605B" w:rsidRPr="0048605B" w:rsidRDefault="00DB7BFC"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w:t>
            </w:r>
            <w:r w:rsidR="0048605B" w:rsidRPr="0048605B">
              <w:rPr>
                <w:rFonts w:ascii="Times New Roman" w:hAnsi="Times New Roman" w:cs="Times New Roman"/>
                <w:color w:val="000000" w:themeColor="text1"/>
                <w:sz w:val="20"/>
                <w:szCs w:val="20"/>
              </w:rPr>
              <w:t xml:space="preserve">  </w:t>
            </w:r>
          </w:p>
          <w:p w14:paraId="143211C2" w14:textId="37CA0A5F"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DB7BFC">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c>
          <w:tcPr>
            <w:tcW w:w="1260" w:type="dxa"/>
            <w:tcBorders>
              <w:top w:val="single" w:sz="4" w:space="0" w:color="auto"/>
            </w:tcBorders>
            <w:vAlign w:val="center"/>
          </w:tcPr>
          <w:p w14:paraId="5E6E41C3" w14:textId="77777777" w:rsidR="00DB7BFC" w:rsidRPr="0048605B" w:rsidRDefault="00DB7BFC" w:rsidP="00DB7BF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 xml:space="preserve">  </w:t>
            </w:r>
          </w:p>
          <w:p w14:paraId="30EDA47B" w14:textId="46DDC4E2" w:rsidR="0048605B" w:rsidRPr="0048605B" w:rsidRDefault="00DB7BFC" w:rsidP="00DB7BFC">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r>
      <w:tr w:rsidR="0048605B" w:rsidRPr="0048605B" w14:paraId="44D5C9A4" w14:textId="77777777" w:rsidTr="00A55035">
        <w:tc>
          <w:tcPr>
            <w:tcW w:w="4731" w:type="dxa"/>
            <w:tcBorders>
              <w:bottom w:val="single" w:sz="4" w:space="0" w:color="auto"/>
            </w:tcBorders>
            <w:vAlign w:val="center"/>
          </w:tcPr>
          <w:p w14:paraId="524818D1"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Homeowner’s Non-Catastrophic Structural Smoke Damage</w:t>
            </w:r>
          </w:p>
        </w:tc>
        <w:tc>
          <w:tcPr>
            <w:tcW w:w="1348" w:type="dxa"/>
            <w:tcBorders>
              <w:bottom w:val="single" w:sz="4" w:space="0" w:color="auto"/>
            </w:tcBorders>
            <w:vAlign w:val="center"/>
          </w:tcPr>
          <w:p w14:paraId="78D3834D" w14:textId="25DD55FF" w:rsidR="001E4232" w:rsidRDefault="001E4232"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w:t>
            </w:r>
          </w:p>
          <w:p w14:paraId="46FB9014" w14:textId="32C6854E"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E4232">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c>
          <w:tcPr>
            <w:tcW w:w="1296" w:type="dxa"/>
            <w:tcBorders>
              <w:bottom w:val="single" w:sz="4" w:space="0" w:color="auto"/>
            </w:tcBorders>
            <w:vAlign w:val="center"/>
          </w:tcPr>
          <w:p w14:paraId="40C85C2D" w14:textId="67FA8309" w:rsidR="001E4232" w:rsidRDefault="001E4232"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w:t>
            </w:r>
          </w:p>
          <w:p w14:paraId="302473BD" w14:textId="7D3E8D6D"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E4232">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c>
          <w:tcPr>
            <w:tcW w:w="1350" w:type="dxa"/>
            <w:tcBorders>
              <w:bottom w:val="single" w:sz="4" w:space="0" w:color="auto"/>
            </w:tcBorders>
            <w:vAlign w:val="center"/>
          </w:tcPr>
          <w:p w14:paraId="1D8DD32E" w14:textId="1FE119A4" w:rsidR="00DB7BFC" w:rsidRDefault="00DB7BFC"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w:t>
            </w:r>
          </w:p>
          <w:p w14:paraId="16A6D83F" w14:textId="17B26147"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DB7BFC">
              <w:rPr>
                <w:rFonts w:ascii="Times New Roman" w:hAnsi="Times New Roman" w:cs="Times New Roman"/>
                <w:color w:val="000000" w:themeColor="text1"/>
                <w:sz w:val="20"/>
                <w:szCs w:val="20"/>
              </w:rPr>
              <w:t>0.03</w:t>
            </w:r>
            <w:r w:rsidRPr="0048605B">
              <w:rPr>
                <w:rFonts w:ascii="Times New Roman" w:hAnsi="Times New Roman" w:cs="Times New Roman"/>
                <w:color w:val="000000" w:themeColor="text1"/>
                <w:sz w:val="20"/>
                <w:szCs w:val="20"/>
              </w:rPr>
              <w:t>)</w:t>
            </w:r>
          </w:p>
        </w:tc>
        <w:tc>
          <w:tcPr>
            <w:tcW w:w="1260" w:type="dxa"/>
            <w:tcBorders>
              <w:bottom w:val="single" w:sz="4" w:space="0" w:color="auto"/>
            </w:tcBorders>
            <w:vAlign w:val="center"/>
          </w:tcPr>
          <w:p w14:paraId="446843AD" w14:textId="3037E6F5" w:rsidR="00DB7BFC" w:rsidRDefault="00DB7BFC" w:rsidP="00DB7BF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w:t>
            </w:r>
          </w:p>
          <w:p w14:paraId="5AECADD6" w14:textId="6EF90CAD" w:rsidR="0048605B" w:rsidRPr="0048605B" w:rsidRDefault="00DB7BFC" w:rsidP="00DB7BFC">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0.03</w:t>
            </w:r>
            <w:r w:rsidRPr="0048605B">
              <w:rPr>
                <w:rFonts w:ascii="Times New Roman" w:hAnsi="Times New Roman" w:cs="Times New Roman"/>
                <w:color w:val="000000" w:themeColor="text1"/>
                <w:sz w:val="20"/>
                <w:szCs w:val="20"/>
              </w:rPr>
              <w:t>)</w:t>
            </w:r>
          </w:p>
        </w:tc>
      </w:tr>
      <w:tr w:rsidR="0048605B" w:rsidRPr="0048605B" w14:paraId="655A391A" w14:textId="77777777" w:rsidTr="00A55035">
        <w:tc>
          <w:tcPr>
            <w:tcW w:w="4731" w:type="dxa"/>
            <w:tcBorders>
              <w:bottom w:val="single" w:sz="4" w:space="0" w:color="auto"/>
            </w:tcBorders>
            <w:vAlign w:val="center"/>
          </w:tcPr>
          <w:p w14:paraId="58A5611C" w14:textId="77777777" w:rsidR="0048605B" w:rsidRPr="0048605B" w:rsidRDefault="0048605B" w:rsidP="000F5BE0">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Homeowner’s Non-Catastrophic Property Fire Damage</w:t>
            </w:r>
          </w:p>
        </w:tc>
        <w:tc>
          <w:tcPr>
            <w:tcW w:w="1348" w:type="dxa"/>
            <w:tcBorders>
              <w:bottom w:val="single" w:sz="4" w:space="0" w:color="auto"/>
            </w:tcBorders>
            <w:vAlign w:val="center"/>
          </w:tcPr>
          <w:p w14:paraId="0528D159" w14:textId="1267F23C" w:rsidR="001E4232" w:rsidRDefault="001E4232" w:rsidP="000F5BE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w:t>
            </w:r>
          </w:p>
          <w:p w14:paraId="087FD525" w14:textId="71FD5EC8" w:rsidR="0048605B" w:rsidRPr="0048605B" w:rsidRDefault="0048605B" w:rsidP="000F5BE0">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E4232">
              <w:rPr>
                <w:rFonts w:ascii="Times New Roman" w:hAnsi="Times New Roman" w:cs="Times New Roman"/>
                <w:color w:val="000000" w:themeColor="text1"/>
                <w:sz w:val="20"/>
                <w:szCs w:val="20"/>
              </w:rPr>
              <w:t>0.01</w:t>
            </w:r>
            <w:r w:rsidRPr="0048605B">
              <w:rPr>
                <w:rFonts w:ascii="Times New Roman" w:hAnsi="Times New Roman" w:cs="Times New Roman"/>
                <w:color w:val="000000" w:themeColor="text1"/>
                <w:sz w:val="20"/>
                <w:szCs w:val="20"/>
              </w:rPr>
              <w:t>)</w:t>
            </w:r>
          </w:p>
        </w:tc>
        <w:tc>
          <w:tcPr>
            <w:tcW w:w="1296" w:type="dxa"/>
            <w:tcBorders>
              <w:bottom w:val="single" w:sz="4" w:space="0" w:color="auto"/>
            </w:tcBorders>
            <w:vAlign w:val="center"/>
          </w:tcPr>
          <w:p w14:paraId="0798F602" w14:textId="3F75CCE7" w:rsidR="001E4232" w:rsidRDefault="001E4232"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w:t>
            </w:r>
          </w:p>
          <w:p w14:paraId="202D6ED1" w14:textId="4A1AD46B"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E4232">
              <w:rPr>
                <w:rFonts w:ascii="Times New Roman" w:hAnsi="Times New Roman" w:cs="Times New Roman"/>
                <w:color w:val="000000" w:themeColor="text1"/>
                <w:sz w:val="20"/>
                <w:szCs w:val="20"/>
              </w:rPr>
              <w:t>0.00</w:t>
            </w:r>
            <w:r w:rsidRPr="0048605B">
              <w:rPr>
                <w:rFonts w:ascii="Times New Roman" w:hAnsi="Times New Roman" w:cs="Times New Roman"/>
                <w:color w:val="000000" w:themeColor="text1"/>
                <w:sz w:val="20"/>
                <w:szCs w:val="20"/>
              </w:rPr>
              <w:t>)</w:t>
            </w:r>
          </w:p>
        </w:tc>
        <w:tc>
          <w:tcPr>
            <w:tcW w:w="1350" w:type="dxa"/>
            <w:tcBorders>
              <w:bottom w:val="single" w:sz="4" w:space="0" w:color="auto"/>
            </w:tcBorders>
            <w:vAlign w:val="center"/>
          </w:tcPr>
          <w:p w14:paraId="512A4C0B" w14:textId="77777777" w:rsidR="0048605B" w:rsidRDefault="00DB7BFC" w:rsidP="00DB7BF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w:t>
            </w:r>
          </w:p>
          <w:p w14:paraId="66CFC103" w14:textId="4D88AD75" w:rsidR="00DB7BFC" w:rsidRPr="0048605B" w:rsidRDefault="00DB7BFC" w:rsidP="00DB7BF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w:t>
            </w:r>
          </w:p>
        </w:tc>
        <w:tc>
          <w:tcPr>
            <w:tcW w:w="1260" w:type="dxa"/>
            <w:tcBorders>
              <w:bottom w:val="single" w:sz="4" w:space="0" w:color="auto"/>
            </w:tcBorders>
            <w:vAlign w:val="center"/>
          </w:tcPr>
          <w:p w14:paraId="4B2C8BF2" w14:textId="20DC7A50" w:rsidR="0048605B" w:rsidRPr="0048605B" w:rsidRDefault="00DB7BFC"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w:t>
            </w:r>
            <w:r w:rsidR="0048605B" w:rsidRPr="0048605B">
              <w:rPr>
                <w:rFonts w:ascii="Times New Roman" w:hAnsi="Times New Roman" w:cs="Times New Roman"/>
                <w:color w:val="000000" w:themeColor="text1"/>
                <w:sz w:val="20"/>
                <w:szCs w:val="20"/>
              </w:rPr>
              <w:t xml:space="preserve">  </w:t>
            </w:r>
          </w:p>
          <w:p w14:paraId="0701A66C" w14:textId="7ABA70A5"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DB7BFC">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r>
      <w:tr w:rsidR="0048605B" w:rsidRPr="0048605B" w14:paraId="3AB14860" w14:textId="77777777" w:rsidTr="00A55035">
        <w:tc>
          <w:tcPr>
            <w:tcW w:w="4731" w:type="dxa"/>
            <w:tcBorders>
              <w:bottom w:val="single" w:sz="4" w:space="0" w:color="auto"/>
            </w:tcBorders>
            <w:vAlign w:val="center"/>
          </w:tcPr>
          <w:p w14:paraId="514D794E"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Homeowner’s Non-Catastrophic Property Smoke Damage</w:t>
            </w:r>
          </w:p>
        </w:tc>
        <w:tc>
          <w:tcPr>
            <w:tcW w:w="1348" w:type="dxa"/>
            <w:tcBorders>
              <w:bottom w:val="single" w:sz="4" w:space="0" w:color="auto"/>
            </w:tcBorders>
            <w:vAlign w:val="center"/>
          </w:tcPr>
          <w:p w14:paraId="65AD1DF9" w14:textId="35804B04" w:rsidR="001E4232" w:rsidRDefault="001E4232"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0.06</w:t>
            </w:r>
          </w:p>
          <w:p w14:paraId="666375DD" w14:textId="26C64B54" w:rsidR="0048605B" w:rsidRPr="0048605B" w:rsidRDefault="0048605B" w:rsidP="001E4232">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E4232">
              <w:rPr>
                <w:rFonts w:ascii="Times New Roman" w:hAnsi="Times New Roman" w:cs="Times New Roman"/>
                <w:color w:val="000000" w:themeColor="text1"/>
                <w:sz w:val="20"/>
                <w:szCs w:val="20"/>
              </w:rPr>
              <w:t>0.04</w:t>
            </w:r>
            <w:r w:rsidRPr="0048605B">
              <w:rPr>
                <w:rFonts w:ascii="Times New Roman" w:hAnsi="Times New Roman" w:cs="Times New Roman"/>
                <w:color w:val="000000" w:themeColor="text1"/>
                <w:sz w:val="20"/>
                <w:szCs w:val="20"/>
              </w:rPr>
              <w:t>)</w:t>
            </w:r>
          </w:p>
        </w:tc>
        <w:tc>
          <w:tcPr>
            <w:tcW w:w="1296" w:type="dxa"/>
            <w:tcBorders>
              <w:bottom w:val="single" w:sz="4" w:space="0" w:color="auto"/>
            </w:tcBorders>
            <w:vAlign w:val="center"/>
          </w:tcPr>
          <w:p w14:paraId="35526E3E" w14:textId="0E733A00" w:rsidR="001E4232" w:rsidRDefault="001E4232"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0.04</w:t>
            </w:r>
          </w:p>
          <w:p w14:paraId="6C11FB04" w14:textId="5FDD9791"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E4232">
              <w:rPr>
                <w:rFonts w:ascii="Times New Roman" w:hAnsi="Times New Roman" w:cs="Times New Roman"/>
                <w:color w:val="000000" w:themeColor="text1"/>
                <w:sz w:val="20"/>
                <w:szCs w:val="20"/>
              </w:rPr>
              <w:t>0.05</w:t>
            </w:r>
            <w:r w:rsidRPr="0048605B">
              <w:rPr>
                <w:rFonts w:ascii="Times New Roman" w:hAnsi="Times New Roman" w:cs="Times New Roman"/>
                <w:color w:val="000000" w:themeColor="text1"/>
                <w:sz w:val="20"/>
                <w:szCs w:val="20"/>
              </w:rPr>
              <w:t>)</w:t>
            </w:r>
          </w:p>
        </w:tc>
        <w:tc>
          <w:tcPr>
            <w:tcW w:w="1350" w:type="dxa"/>
            <w:tcBorders>
              <w:bottom w:val="single" w:sz="4" w:space="0" w:color="auto"/>
            </w:tcBorders>
            <w:vAlign w:val="center"/>
          </w:tcPr>
          <w:p w14:paraId="1ECEA926" w14:textId="4AECB42C" w:rsidR="00DB7BFC" w:rsidRPr="00DB7BFC" w:rsidRDefault="00DB7BFC" w:rsidP="00A5503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0.16</w:t>
            </w:r>
            <w:r>
              <w:rPr>
                <w:rFonts w:ascii="Times New Roman" w:hAnsi="Times New Roman" w:cs="Times New Roman"/>
                <w:color w:val="000000" w:themeColor="text1"/>
                <w:sz w:val="20"/>
                <w:szCs w:val="20"/>
                <w:vertAlign w:val="superscript"/>
              </w:rPr>
              <w:t>***</w:t>
            </w:r>
          </w:p>
          <w:p w14:paraId="5739FDCC" w14:textId="1CB5B6AD" w:rsidR="0048605B" w:rsidRPr="0048605B" w:rsidRDefault="0048605B" w:rsidP="00DB7BFC">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DB7BFC">
              <w:rPr>
                <w:rFonts w:ascii="Times New Roman" w:hAnsi="Times New Roman" w:cs="Times New Roman"/>
                <w:color w:val="000000" w:themeColor="text1"/>
                <w:sz w:val="20"/>
                <w:szCs w:val="20"/>
              </w:rPr>
              <w:t>0.06</w:t>
            </w:r>
            <w:r w:rsidRPr="0048605B">
              <w:rPr>
                <w:rFonts w:ascii="Times New Roman" w:hAnsi="Times New Roman" w:cs="Times New Roman"/>
                <w:color w:val="000000" w:themeColor="text1"/>
                <w:sz w:val="20"/>
                <w:szCs w:val="20"/>
              </w:rPr>
              <w:t>)</w:t>
            </w:r>
          </w:p>
        </w:tc>
        <w:tc>
          <w:tcPr>
            <w:tcW w:w="1260" w:type="dxa"/>
            <w:tcBorders>
              <w:bottom w:val="single" w:sz="4" w:space="0" w:color="auto"/>
            </w:tcBorders>
            <w:vAlign w:val="center"/>
          </w:tcPr>
          <w:p w14:paraId="1C2713E2" w14:textId="77777777" w:rsidR="00DB7BFC" w:rsidRPr="00DB7BFC" w:rsidRDefault="00DB7BFC" w:rsidP="00DB7BFC">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0.16</w:t>
            </w:r>
            <w:r>
              <w:rPr>
                <w:rFonts w:ascii="Times New Roman" w:hAnsi="Times New Roman" w:cs="Times New Roman"/>
                <w:color w:val="000000" w:themeColor="text1"/>
                <w:sz w:val="20"/>
                <w:szCs w:val="20"/>
                <w:vertAlign w:val="superscript"/>
              </w:rPr>
              <w:t>***</w:t>
            </w:r>
          </w:p>
          <w:p w14:paraId="7CD60CAD" w14:textId="22327B94" w:rsidR="0048605B" w:rsidRPr="0048605B" w:rsidRDefault="00DB7BFC" w:rsidP="00DB7BFC">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0.06</w:t>
            </w:r>
            <w:r w:rsidRPr="0048605B">
              <w:rPr>
                <w:rFonts w:ascii="Times New Roman" w:hAnsi="Times New Roman" w:cs="Times New Roman"/>
                <w:color w:val="000000" w:themeColor="text1"/>
                <w:sz w:val="20"/>
                <w:szCs w:val="20"/>
              </w:rPr>
              <w:t>)</w:t>
            </w:r>
          </w:p>
        </w:tc>
      </w:tr>
      <w:tr w:rsidR="0048605B" w:rsidRPr="0048605B" w14:paraId="6FE1E100" w14:textId="77777777" w:rsidTr="00A55035">
        <w:tc>
          <w:tcPr>
            <w:tcW w:w="4731" w:type="dxa"/>
            <w:tcBorders>
              <w:bottom w:val="single" w:sz="4" w:space="0" w:color="auto"/>
            </w:tcBorders>
            <w:vAlign w:val="center"/>
          </w:tcPr>
          <w:p w14:paraId="3E326A8F"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Homeowner’s Catastrophic Structural Fire Damage</w:t>
            </w:r>
          </w:p>
        </w:tc>
        <w:tc>
          <w:tcPr>
            <w:tcW w:w="1348" w:type="dxa"/>
            <w:tcBorders>
              <w:bottom w:val="single" w:sz="4" w:space="0" w:color="auto"/>
            </w:tcBorders>
            <w:vAlign w:val="center"/>
          </w:tcPr>
          <w:p w14:paraId="20A98BB7" w14:textId="787C2F4D" w:rsidR="001E4232" w:rsidRDefault="001E4232"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w:t>
            </w:r>
          </w:p>
          <w:p w14:paraId="30BDFF08" w14:textId="2B43DF5F" w:rsidR="001E4232" w:rsidRPr="0048605B" w:rsidRDefault="0048605B" w:rsidP="001E4232">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E4232">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c>
          <w:tcPr>
            <w:tcW w:w="1296" w:type="dxa"/>
            <w:tcBorders>
              <w:bottom w:val="single" w:sz="4" w:space="0" w:color="auto"/>
            </w:tcBorders>
            <w:vAlign w:val="center"/>
          </w:tcPr>
          <w:p w14:paraId="6C145B08" w14:textId="5DBCB172" w:rsidR="001E4232" w:rsidRDefault="001E4232"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w:t>
            </w:r>
          </w:p>
          <w:p w14:paraId="4D5FC7E2" w14:textId="345FFA9F"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E4232">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c>
          <w:tcPr>
            <w:tcW w:w="1350" w:type="dxa"/>
            <w:tcBorders>
              <w:bottom w:val="single" w:sz="4" w:space="0" w:color="auto"/>
            </w:tcBorders>
            <w:vAlign w:val="center"/>
          </w:tcPr>
          <w:p w14:paraId="2B80414A" w14:textId="6F0327A9" w:rsidR="0048605B" w:rsidRPr="00DB7BFC" w:rsidRDefault="0048605B" w:rsidP="00DB7BFC">
            <w:pPr>
              <w:jc w:val="center"/>
              <w:rPr>
                <w:rFonts w:ascii="Times New Roman" w:hAnsi="Times New Roman" w:cs="Times New Roman"/>
                <w:color w:val="000000" w:themeColor="text1"/>
                <w:sz w:val="20"/>
                <w:szCs w:val="20"/>
                <w:vertAlign w:val="superscript"/>
              </w:rPr>
            </w:pPr>
            <w:r w:rsidRPr="0048605B">
              <w:rPr>
                <w:rFonts w:ascii="Times New Roman" w:hAnsi="Times New Roman" w:cs="Times New Roman"/>
                <w:color w:val="000000" w:themeColor="text1"/>
                <w:sz w:val="20"/>
                <w:szCs w:val="20"/>
              </w:rPr>
              <w:t xml:space="preserve"> </w:t>
            </w:r>
            <w:r w:rsidR="00DB7BFC">
              <w:rPr>
                <w:rFonts w:ascii="Times New Roman" w:hAnsi="Times New Roman" w:cs="Times New Roman"/>
                <w:color w:val="000000" w:themeColor="text1"/>
                <w:sz w:val="20"/>
                <w:szCs w:val="20"/>
              </w:rPr>
              <w:t>0.06</w:t>
            </w:r>
            <w:r w:rsidR="00DB7BFC">
              <w:rPr>
                <w:rFonts w:ascii="Times New Roman" w:hAnsi="Times New Roman" w:cs="Times New Roman"/>
                <w:color w:val="000000" w:themeColor="text1"/>
                <w:sz w:val="20"/>
                <w:szCs w:val="20"/>
                <w:vertAlign w:val="superscript"/>
              </w:rPr>
              <w:t>**</w:t>
            </w:r>
          </w:p>
          <w:p w14:paraId="57F91A2A" w14:textId="56A7660F" w:rsidR="00DB7BFC" w:rsidRPr="0048605B" w:rsidRDefault="00DB7BFC"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w:t>
            </w:r>
          </w:p>
        </w:tc>
        <w:tc>
          <w:tcPr>
            <w:tcW w:w="1260" w:type="dxa"/>
            <w:tcBorders>
              <w:bottom w:val="single" w:sz="4" w:space="0" w:color="auto"/>
            </w:tcBorders>
            <w:vAlign w:val="center"/>
          </w:tcPr>
          <w:p w14:paraId="5DC207B0" w14:textId="77777777" w:rsidR="00DB7BFC" w:rsidRPr="00DB7BFC" w:rsidRDefault="00DB7BFC" w:rsidP="00DB7BFC">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0.06</w:t>
            </w:r>
            <w:r>
              <w:rPr>
                <w:rFonts w:ascii="Times New Roman" w:hAnsi="Times New Roman" w:cs="Times New Roman"/>
                <w:color w:val="000000" w:themeColor="text1"/>
                <w:sz w:val="20"/>
                <w:szCs w:val="20"/>
                <w:vertAlign w:val="superscript"/>
              </w:rPr>
              <w:t>***</w:t>
            </w:r>
          </w:p>
          <w:p w14:paraId="29A6679E" w14:textId="77ADCDEA" w:rsidR="0048605B" w:rsidRPr="0048605B" w:rsidRDefault="00DB7BFC" w:rsidP="00DB7BF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w:t>
            </w:r>
          </w:p>
        </w:tc>
      </w:tr>
      <w:tr w:rsidR="0048605B" w:rsidRPr="0048605B" w14:paraId="73A1E5A5" w14:textId="77777777" w:rsidTr="00A55035">
        <w:tc>
          <w:tcPr>
            <w:tcW w:w="4731" w:type="dxa"/>
            <w:tcBorders>
              <w:bottom w:val="single" w:sz="4" w:space="0" w:color="auto"/>
            </w:tcBorders>
            <w:vAlign w:val="center"/>
          </w:tcPr>
          <w:p w14:paraId="4781BD94"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Homeowner’s Catastrophic Structural Smoke Damage</w:t>
            </w:r>
          </w:p>
        </w:tc>
        <w:tc>
          <w:tcPr>
            <w:tcW w:w="1348" w:type="dxa"/>
            <w:tcBorders>
              <w:bottom w:val="single" w:sz="4" w:space="0" w:color="auto"/>
            </w:tcBorders>
            <w:vAlign w:val="center"/>
          </w:tcPr>
          <w:p w14:paraId="69ECAA4C" w14:textId="20E6B838" w:rsidR="001E4232" w:rsidRDefault="000403B5"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w:t>
            </w:r>
          </w:p>
          <w:p w14:paraId="188D9028" w14:textId="3BFEBDF7"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0403B5">
              <w:rPr>
                <w:rFonts w:ascii="Times New Roman" w:hAnsi="Times New Roman" w:cs="Times New Roman"/>
                <w:color w:val="000000" w:themeColor="text1"/>
                <w:sz w:val="20"/>
                <w:szCs w:val="20"/>
              </w:rPr>
              <w:t>0.02</w:t>
            </w:r>
            <w:r w:rsidR="000F5BE0">
              <w:rPr>
                <w:rFonts w:ascii="Times New Roman" w:hAnsi="Times New Roman" w:cs="Times New Roman"/>
                <w:color w:val="000000" w:themeColor="text1"/>
                <w:sz w:val="20"/>
                <w:szCs w:val="20"/>
              </w:rPr>
              <w:t>)</w:t>
            </w:r>
          </w:p>
        </w:tc>
        <w:tc>
          <w:tcPr>
            <w:tcW w:w="1296" w:type="dxa"/>
            <w:tcBorders>
              <w:bottom w:val="single" w:sz="4" w:space="0" w:color="auto"/>
            </w:tcBorders>
            <w:vAlign w:val="center"/>
          </w:tcPr>
          <w:p w14:paraId="09E01EA2" w14:textId="4F2FD354"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 xml:space="preserve"> </w:t>
            </w:r>
            <w:r w:rsidR="000403B5">
              <w:rPr>
                <w:rFonts w:ascii="Times New Roman" w:hAnsi="Times New Roman" w:cs="Times New Roman"/>
                <w:color w:val="000000" w:themeColor="text1"/>
                <w:sz w:val="20"/>
                <w:szCs w:val="20"/>
              </w:rPr>
              <w:t>0.00</w:t>
            </w:r>
          </w:p>
          <w:p w14:paraId="7603E6FE" w14:textId="5155BFB6"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0403B5">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c>
          <w:tcPr>
            <w:tcW w:w="1350" w:type="dxa"/>
            <w:tcBorders>
              <w:bottom w:val="single" w:sz="4" w:space="0" w:color="auto"/>
            </w:tcBorders>
            <w:vAlign w:val="center"/>
          </w:tcPr>
          <w:p w14:paraId="62051F1B" w14:textId="272C0E70" w:rsidR="00872D06" w:rsidRDefault="00872D06"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w:t>
            </w:r>
          </w:p>
          <w:p w14:paraId="34A4832C" w14:textId="226AC5FF"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872D06">
              <w:rPr>
                <w:rFonts w:ascii="Times New Roman" w:hAnsi="Times New Roman" w:cs="Times New Roman"/>
                <w:color w:val="000000" w:themeColor="text1"/>
                <w:sz w:val="20"/>
                <w:szCs w:val="20"/>
              </w:rPr>
              <w:t>0.04</w:t>
            </w:r>
            <w:r w:rsidRPr="0048605B">
              <w:rPr>
                <w:rFonts w:ascii="Times New Roman" w:hAnsi="Times New Roman" w:cs="Times New Roman"/>
                <w:color w:val="000000" w:themeColor="text1"/>
                <w:sz w:val="20"/>
                <w:szCs w:val="20"/>
              </w:rPr>
              <w:t>)</w:t>
            </w:r>
          </w:p>
        </w:tc>
        <w:tc>
          <w:tcPr>
            <w:tcW w:w="1260" w:type="dxa"/>
            <w:tcBorders>
              <w:bottom w:val="single" w:sz="4" w:space="0" w:color="auto"/>
            </w:tcBorders>
            <w:vAlign w:val="center"/>
          </w:tcPr>
          <w:p w14:paraId="667B4AA6" w14:textId="77777777" w:rsidR="00872D06" w:rsidRDefault="00872D06" w:rsidP="00872D0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w:t>
            </w:r>
          </w:p>
          <w:p w14:paraId="59718902" w14:textId="22EBAD3B" w:rsidR="0048605B" w:rsidRPr="0048605B" w:rsidRDefault="00872D06" w:rsidP="00872D06">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r>
      <w:tr w:rsidR="0048605B" w:rsidRPr="0048605B" w14:paraId="72D99495" w14:textId="77777777" w:rsidTr="00A55035">
        <w:tc>
          <w:tcPr>
            <w:tcW w:w="4731" w:type="dxa"/>
            <w:tcBorders>
              <w:bottom w:val="single" w:sz="4" w:space="0" w:color="auto"/>
            </w:tcBorders>
            <w:vAlign w:val="center"/>
          </w:tcPr>
          <w:p w14:paraId="24F3D591"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Homeowner’s Catastrophic Property Fire Damage</w:t>
            </w:r>
          </w:p>
        </w:tc>
        <w:tc>
          <w:tcPr>
            <w:tcW w:w="1348" w:type="dxa"/>
            <w:tcBorders>
              <w:bottom w:val="single" w:sz="4" w:space="0" w:color="auto"/>
            </w:tcBorders>
            <w:vAlign w:val="center"/>
          </w:tcPr>
          <w:p w14:paraId="3954E16F" w14:textId="47819978" w:rsidR="0048605B" w:rsidRPr="0048605B" w:rsidRDefault="000403B5"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0.01</w:t>
            </w:r>
            <w:r w:rsidR="0048605B" w:rsidRPr="0048605B">
              <w:rPr>
                <w:rFonts w:ascii="Times New Roman" w:hAnsi="Times New Roman" w:cs="Times New Roman"/>
                <w:color w:val="000000" w:themeColor="text1"/>
                <w:sz w:val="20"/>
                <w:szCs w:val="20"/>
              </w:rPr>
              <w:t xml:space="preserve">  </w:t>
            </w:r>
          </w:p>
          <w:p w14:paraId="08593D4A" w14:textId="2A8E8F0E"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0403B5">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c>
          <w:tcPr>
            <w:tcW w:w="1296" w:type="dxa"/>
            <w:tcBorders>
              <w:bottom w:val="single" w:sz="4" w:space="0" w:color="auto"/>
            </w:tcBorders>
            <w:vAlign w:val="center"/>
          </w:tcPr>
          <w:p w14:paraId="6290EAD1" w14:textId="28EA903A" w:rsidR="0048605B" w:rsidRPr="0048605B" w:rsidRDefault="000403B5" w:rsidP="000403B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0.00</w:t>
            </w:r>
          </w:p>
          <w:p w14:paraId="6C8D30D6" w14:textId="393E5FB6" w:rsidR="0048605B" w:rsidRPr="0048605B" w:rsidRDefault="0048605B" w:rsidP="000403B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0403B5">
              <w:rPr>
                <w:rFonts w:ascii="Times New Roman" w:hAnsi="Times New Roman" w:cs="Times New Roman"/>
                <w:color w:val="000000" w:themeColor="text1"/>
                <w:sz w:val="20"/>
                <w:szCs w:val="20"/>
              </w:rPr>
              <w:t>0.01</w:t>
            </w:r>
            <w:r w:rsidR="000F5BE0">
              <w:rPr>
                <w:rFonts w:ascii="Times New Roman" w:hAnsi="Times New Roman" w:cs="Times New Roman"/>
                <w:color w:val="000000" w:themeColor="text1"/>
                <w:sz w:val="20"/>
                <w:szCs w:val="20"/>
              </w:rPr>
              <w:t>)</w:t>
            </w:r>
          </w:p>
        </w:tc>
        <w:tc>
          <w:tcPr>
            <w:tcW w:w="1350" w:type="dxa"/>
            <w:tcBorders>
              <w:bottom w:val="single" w:sz="4" w:space="0" w:color="auto"/>
            </w:tcBorders>
            <w:vAlign w:val="center"/>
          </w:tcPr>
          <w:p w14:paraId="716F9BCF" w14:textId="19EE32F3" w:rsidR="0048605B" w:rsidRPr="00F621AD" w:rsidRDefault="00F621AD" w:rsidP="00A5503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0.07</w:t>
            </w:r>
            <w:r>
              <w:rPr>
                <w:rFonts w:ascii="Times New Roman" w:hAnsi="Times New Roman" w:cs="Times New Roman"/>
                <w:color w:val="000000" w:themeColor="text1"/>
                <w:sz w:val="20"/>
                <w:szCs w:val="20"/>
                <w:vertAlign w:val="superscript"/>
              </w:rPr>
              <w:t>**</w:t>
            </w:r>
          </w:p>
          <w:p w14:paraId="6DFA255B" w14:textId="41AFA1EE" w:rsidR="00F621AD" w:rsidRPr="0048605B" w:rsidRDefault="00F621AD"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w:t>
            </w:r>
          </w:p>
        </w:tc>
        <w:tc>
          <w:tcPr>
            <w:tcW w:w="1260" w:type="dxa"/>
            <w:tcBorders>
              <w:bottom w:val="single" w:sz="4" w:space="0" w:color="auto"/>
            </w:tcBorders>
            <w:vAlign w:val="center"/>
          </w:tcPr>
          <w:p w14:paraId="0CCB2961" w14:textId="20DC82B6" w:rsidR="00F621AD" w:rsidRPr="00F621AD" w:rsidRDefault="00F621AD" w:rsidP="00F621AD">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0.07</w:t>
            </w:r>
            <w:r>
              <w:rPr>
                <w:rFonts w:ascii="Times New Roman" w:hAnsi="Times New Roman" w:cs="Times New Roman"/>
                <w:color w:val="000000" w:themeColor="text1"/>
                <w:sz w:val="20"/>
                <w:szCs w:val="20"/>
                <w:vertAlign w:val="superscript"/>
              </w:rPr>
              <w:t>***</w:t>
            </w:r>
          </w:p>
          <w:p w14:paraId="058C4FAF" w14:textId="02AC1280" w:rsidR="0048605B" w:rsidRPr="0048605B" w:rsidRDefault="00F621AD" w:rsidP="00F621A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(0.02)</w:t>
            </w:r>
          </w:p>
        </w:tc>
      </w:tr>
      <w:tr w:rsidR="0048605B" w:rsidRPr="0048605B" w14:paraId="0839DAFA" w14:textId="77777777" w:rsidTr="00A55035">
        <w:tc>
          <w:tcPr>
            <w:tcW w:w="4731" w:type="dxa"/>
            <w:tcBorders>
              <w:bottom w:val="single" w:sz="4" w:space="0" w:color="auto"/>
            </w:tcBorders>
            <w:vAlign w:val="center"/>
          </w:tcPr>
          <w:p w14:paraId="2026182F"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Homeowner’s Catastrophic Property Smoke Damage</w:t>
            </w:r>
          </w:p>
        </w:tc>
        <w:tc>
          <w:tcPr>
            <w:tcW w:w="1348" w:type="dxa"/>
            <w:tcBorders>
              <w:bottom w:val="single" w:sz="4" w:space="0" w:color="auto"/>
            </w:tcBorders>
            <w:vAlign w:val="center"/>
          </w:tcPr>
          <w:p w14:paraId="707A86E2" w14:textId="573BAD42" w:rsidR="0048605B" w:rsidRPr="0048605B" w:rsidRDefault="000403B5" w:rsidP="000403B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w:t>
            </w:r>
          </w:p>
          <w:p w14:paraId="279574B4" w14:textId="23CA0C6F"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0403B5">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c>
          <w:tcPr>
            <w:tcW w:w="1296" w:type="dxa"/>
            <w:tcBorders>
              <w:bottom w:val="single" w:sz="4" w:space="0" w:color="auto"/>
            </w:tcBorders>
            <w:vAlign w:val="center"/>
          </w:tcPr>
          <w:p w14:paraId="082774B1" w14:textId="24F1F2E3" w:rsidR="000403B5" w:rsidRDefault="000403B5" w:rsidP="000403B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w:t>
            </w:r>
          </w:p>
          <w:p w14:paraId="5663008E" w14:textId="0DEB4DB7" w:rsidR="0048605B" w:rsidRPr="0048605B" w:rsidRDefault="0048605B" w:rsidP="000403B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0403B5">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c>
          <w:tcPr>
            <w:tcW w:w="1350" w:type="dxa"/>
            <w:tcBorders>
              <w:bottom w:val="single" w:sz="4" w:space="0" w:color="auto"/>
            </w:tcBorders>
            <w:vAlign w:val="center"/>
          </w:tcPr>
          <w:p w14:paraId="0CFFA3CE" w14:textId="4049F773" w:rsidR="00F621AD" w:rsidRDefault="00F621AD"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0.10</w:t>
            </w:r>
          </w:p>
          <w:p w14:paraId="75B63B24" w14:textId="0BBA9F3F"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F621AD">
              <w:rPr>
                <w:rFonts w:ascii="Times New Roman" w:hAnsi="Times New Roman" w:cs="Times New Roman"/>
                <w:color w:val="000000" w:themeColor="text1"/>
                <w:sz w:val="20"/>
                <w:szCs w:val="20"/>
              </w:rPr>
              <w:t>0.09</w:t>
            </w:r>
            <w:r w:rsidRPr="0048605B">
              <w:rPr>
                <w:rFonts w:ascii="Times New Roman" w:hAnsi="Times New Roman" w:cs="Times New Roman"/>
                <w:color w:val="000000" w:themeColor="text1"/>
                <w:sz w:val="20"/>
                <w:szCs w:val="20"/>
              </w:rPr>
              <w:t>)</w:t>
            </w:r>
          </w:p>
        </w:tc>
        <w:tc>
          <w:tcPr>
            <w:tcW w:w="1260" w:type="dxa"/>
            <w:tcBorders>
              <w:bottom w:val="single" w:sz="4" w:space="0" w:color="auto"/>
            </w:tcBorders>
            <w:vAlign w:val="center"/>
          </w:tcPr>
          <w:p w14:paraId="6B14D15C" w14:textId="77777777" w:rsidR="00F621AD" w:rsidRPr="00872D06" w:rsidRDefault="00F621AD" w:rsidP="00F621AD">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0.09</w:t>
            </w:r>
            <w:r>
              <w:rPr>
                <w:rFonts w:ascii="Times New Roman" w:hAnsi="Times New Roman" w:cs="Times New Roman"/>
                <w:color w:val="000000" w:themeColor="text1"/>
                <w:sz w:val="20"/>
                <w:szCs w:val="20"/>
                <w:vertAlign w:val="superscript"/>
              </w:rPr>
              <w:t>*</w:t>
            </w:r>
          </w:p>
          <w:p w14:paraId="256AAB49" w14:textId="18B0B49B" w:rsidR="0048605B" w:rsidRPr="0048605B" w:rsidRDefault="00F621AD" w:rsidP="00F621A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w:t>
            </w:r>
            <w:r w:rsidRPr="0048605B">
              <w:rPr>
                <w:rFonts w:ascii="Times New Roman" w:hAnsi="Times New Roman" w:cs="Times New Roman"/>
                <w:color w:val="000000" w:themeColor="text1"/>
                <w:sz w:val="20"/>
                <w:szCs w:val="20"/>
              </w:rPr>
              <w:t>)</w:t>
            </w:r>
          </w:p>
        </w:tc>
      </w:tr>
      <w:tr w:rsidR="0048605B" w:rsidRPr="0048605B" w14:paraId="65DC9C9F" w14:textId="77777777" w:rsidTr="00A55035">
        <w:tc>
          <w:tcPr>
            <w:tcW w:w="4731" w:type="dxa"/>
            <w:tcBorders>
              <w:bottom w:val="single" w:sz="4" w:space="0" w:color="auto"/>
            </w:tcBorders>
            <w:vAlign w:val="center"/>
          </w:tcPr>
          <w:p w14:paraId="1C7844C2"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Owner-Occupied Non-Catastrophic Structural Fire Damage</w:t>
            </w:r>
          </w:p>
        </w:tc>
        <w:tc>
          <w:tcPr>
            <w:tcW w:w="1348" w:type="dxa"/>
            <w:tcBorders>
              <w:bottom w:val="single" w:sz="4" w:space="0" w:color="auto"/>
            </w:tcBorders>
            <w:vAlign w:val="center"/>
          </w:tcPr>
          <w:p w14:paraId="2FAB1855" w14:textId="5DA13314" w:rsidR="000403B5" w:rsidRPr="000403B5" w:rsidRDefault="000403B5" w:rsidP="000403B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0.23</w:t>
            </w:r>
            <w:r>
              <w:rPr>
                <w:rFonts w:ascii="Times New Roman" w:hAnsi="Times New Roman" w:cs="Times New Roman"/>
                <w:color w:val="000000" w:themeColor="text1"/>
                <w:sz w:val="20"/>
                <w:szCs w:val="20"/>
                <w:vertAlign w:val="superscript"/>
              </w:rPr>
              <w:t>***</w:t>
            </w:r>
          </w:p>
          <w:p w14:paraId="1205E039" w14:textId="1D665145" w:rsidR="0048605B" w:rsidRPr="0048605B" w:rsidRDefault="0048605B" w:rsidP="000403B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0403B5">
              <w:rPr>
                <w:rFonts w:ascii="Times New Roman" w:hAnsi="Times New Roman" w:cs="Times New Roman"/>
                <w:color w:val="000000" w:themeColor="text1"/>
                <w:sz w:val="20"/>
                <w:szCs w:val="20"/>
              </w:rPr>
              <w:t>0.04</w:t>
            </w:r>
            <w:r w:rsidRPr="0048605B">
              <w:rPr>
                <w:rFonts w:ascii="Times New Roman" w:hAnsi="Times New Roman" w:cs="Times New Roman"/>
                <w:color w:val="000000" w:themeColor="text1"/>
                <w:sz w:val="20"/>
                <w:szCs w:val="20"/>
              </w:rPr>
              <w:t>)</w:t>
            </w:r>
          </w:p>
        </w:tc>
        <w:tc>
          <w:tcPr>
            <w:tcW w:w="1296" w:type="dxa"/>
            <w:tcBorders>
              <w:bottom w:val="single" w:sz="4" w:space="0" w:color="auto"/>
            </w:tcBorders>
            <w:vAlign w:val="center"/>
          </w:tcPr>
          <w:p w14:paraId="4ED230AF" w14:textId="4CDD72C9" w:rsidR="000403B5" w:rsidRPr="000403B5" w:rsidRDefault="000403B5" w:rsidP="00A5503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0.24</w:t>
            </w:r>
            <w:r>
              <w:rPr>
                <w:rFonts w:ascii="Times New Roman" w:hAnsi="Times New Roman" w:cs="Times New Roman"/>
                <w:color w:val="000000" w:themeColor="text1"/>
                <w:sz w:val="20"/>
                <w:szCs w:val="20"/>
                <w:vertAlign w:val="superscript"/>
              </w:rPr>
              <w:t>***</w:t>
            </w:r>
          </w:p>
          <w:p w14:paraId="3749B3BF" w14:textId="6A3AC915"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0403B5">
              <w:rPr>
                <w:rFonts w:ascii="Times New Roman" w:hAnsi="Times New Roman" w:cs="Times New Roman"/>
                <w:color w:val="000000" w:themeColor="text1"/>
                <w:sz w:val="20"/>
                <w:szCs w:val="20"/>
              </w:rPr>
              <w:t>0.06</w:t>
            </w:r>
            <w:r w:rsidRPr="0048605B">
              <w:rPr>
                <w:rFonts w:ascii="Times New Roman" w:hAnsi="Times New Roman" w:cs="Times New Roman"/>
                <w:color w:val="000000" w:themeColor="text1"/>
                <w:sz w:val="20"/>
                <w:szCs w:val="20"/>
              </w:rPr>
              <w:t>)</w:t>
            </w:r>
          </w:p>
        </w:tc>
        <w:tc>
          <w:tcPr>
            <w:tcW w:w="1350" w:type="dxa"/>
            <w:tcBorders>
              <w:bottom w:val="single" w:sz="4" w:space="0" w:color="auto"/>
            </w:tcBorders>
            <w:vAlign w:val="center"/>
          </w:tcPr>
          <w:p w14:paraId="44B880EE" w14:textId="6B831F4D" w:rsidR="005E6DC3" w:rsidRPr="005E6DC3" w:rsidRDefault="005E6DC3" w:rsidP="000F5BE0">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0.70</w:t>
            </w:r>
            <w:r>
              <w:rPr>
                <w:rFonts w:ascii="Times New Roman" w:hAnsi="Times New Roman" w:cs="Times New Roman"/>
                <w:color w:val="000000" w:themeColor="text1"/>
                <w:sz w:val="20"/>
                <w:szCs w:val="20"/>
                <w:vertAlign w:val="superscript"/>
              </w:rPr>
              <w:t>***</w:t>
            </w:r>
          </w:p>
          <w:p w14:paraId="7D696209" w14:textId="7CC86E61" w:rsidR="0048605B" w:rsidRPr="0048605B" w:rsidRDefault="0048605B" w:rsidP="000F5BE0">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5E6DC3">
              <w:rPr>
                <w:rFonts w:ascii="Times New Roman" w:hAnsi="Times New Roman" w:cs="Times New Roman"/>
                <w:color w:val="000000" w:themeColor="text1"/>
                <w:sz w:val="20"/>
                <w:szCs w:val="20"/>
              </w:rPr>
              <w:t>0.09</w:t>
            </w:r>
            <w:r w:rsidRPr="0048605B">
              <w:rPr>
                <w:rFonts w:ascii="Times New Roman" w:hAnsi="Times New Roman" w:cs="Times New Roman"/>
                <w:color w:val="000000" w:themeColor="text1"/>
                <w:sz w:val="20"/>
                <w:szCs w:val="20"/>
              </w:rPr>
              <w:t>)</w:t>
            </w:r>
          </w:p>
        </w:tc>
        <w:tc>
          <w:tcPr>
            <w:tcW w:w="1260" w:type="dxa"/>
            <w:tcBorders>
              <w:bottom w:val="single" w:sz="4" w:space="0" w:color="auto"/>
            </w:tcBorders>
            <w:vAlign w:val="center"/>
          </w:tcPr>
          <w:p w14:paraId="6EBC8031" w14:textId="77777777" w:rsidR="0048605B" w:rsidRDefault="00F621AD" w:rsidP="00A5503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0.71</w:t>
            </w:r>
            <w:r>
              <w:rPr>
                <w:rFonts w:ascii="Times New Roman" w:hAnsi="Times New Roman" w:cs="Times New Roman"/>
                <w:color w:val="000000" w:themeColor="text1"/>
                <w:sz w:val="20"/>
                <w:szCs w:val="20"/>
                <w:vertAlign w:val="superscript"/>
              </w:rPr>
              <w:t>***</w:t>
            </w:r>
          </w:p>
          <w:p w14:paraId="738C3BBC" w14:textId="2B50F9E3" w:rsidR="00F621AD" w:rsidRPr="00F621AD" w:rsidRDefault="00F621AD"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(0.16)</w:t>
            </w:r>
          </w:p>
        </w:tc>
      </w:tr>
      <w:tr w:rsidR="0048605B" w:rsidRPr="0048605B" w14:paraId="4F8B3D4E" w14:textId="77777777" w:rsidTr="00A55035">
        <w:tc>
          <w:tcPr>
            <w:tcW w:w="4731" w:type="dxa"/>
            <w:tcBorders>
              <w:bottom w:val="single" w:sz="4" w:space="0" w:color="auto"/>
            </w:tcBorders>
            <w:vAlign w:val="center"/>
          </w:tcPr>
          <w:p w14:paraId="5B716D3B"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Owner-Occupied Non-Catastrophic Property Fire Damage</w:t>
            </w:r>
          </w:p>
        </w:tc>
        <w:tc>
          <w:tcPr>
            <w:tcW w:w="1348" w:type="dxa"/>
            <w:tcBorders>
              <w:bottom w:val="single" w:sz="4" w:space="0" w:color="auto"/>
            </w:tcBorders>
            <w:vAlign w:val="center"/>
          </w:tcPr>
          <w:p w14:paraId="297858BC" w14:textId="30F6ADDE" w:rsidR="0048605B" w:rsidRPr="0048605B" w:rsidRDefault="001B6198" w:rsidP="00A5503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0.70</w:t>
            </w:r>
            <w:r w:rsidR="0048605B" w:rsidRPr="0048605B">
              <w:rPr>
                <w:rFonts w:ascii="Times New Roman" w:hAnsi="Times New Roman" w:cs="Times New Roman"/>
                <w:color w:val="000000" w:themeColor="text1"/>
                <w:sz w:val="20"/>
                <w:szCs w:val="20"/>
              </w:rPr>
              <w:t xml:space="preserve">  </w:t>
            </w:r>
          </w:p>
          <w:p w14:paraId="08F0F825" w14:textId="47103065"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B6198">
              <w:rPr>
                <w:rFonts w:ascii="Times New Roman" w:hAnsi="Times New Roman" w:cs="Times New Roman"/>
                <w:color w:val="000000" w:themeColor="text1"/>
                <w:sz w:val="20"/>
                <w:szCs w:val="20"/>
              </w:rPr>
              <w:t>0.65</w:t>
            </w:r>
            <w:r w:rsidRPr="0048605B">
              <w:rPr>
                <w:rFonts w:ascii="Times New Roman" w:hAnsi="Times New Roman" w:cs="Times New Roman"/>
                <w:color w:val="000000" w:themeColor="text1"/>
                <w:sz w:val="20"/>
                <w:szCs w:val="20"/>
              </w:rPr>
              <w:t>)</w:t>
            </w:r>
          </w:p>
        </w:tc>
        <w:tc>
          <w:tcPr>
            <w:tcW w:w="1296" w:type="dxa"/>
            <w:tcBorders>
              <w:bottom w:val="single" w:sz="4" w:space="0" w:color="auto"/>
            </w:tcBorders>
            <w:vAlign w:val="center"/>
          </w:tcPr>
          <w:p w14:paraId="6C14DE9F" w14:textId="20605026" w:rsidR="00EA0AEA" w:rsidRPr="001B6198" w:rsidRDefault="001B6198" w:rsidP="00A5503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0.31</w:t>
            </w:r>
            <w:r>
              <w:rPr>
                <w:rFonts w:ascii="Times New Roman" w:hAnsi="Times New Roman" w:cs="Times New Roman"/>
                <w:color w:val="000000" w:themeColor="text1"/>
                <w:sz w:val="20"/>
                <w:szCs w:val="20"/>
                <w:vertAlign w:val="superscript"/>
              </w:rPr>
              <w:t>***</w:t>
            </w:r>
          </w:p>
          <w:p w14:paraId="1BC7D61B" w14:textId="4370744B"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B6198">
              <w:rPr>
                <w:rFonts w:ascii="Times New Roman" w:hAnsi="Times New Roman" w:cs="Times New Roman"/>
                <w:color w:val="000000" w:themeColor="text1"/>
                <w:sz w:val="20"/>
                <w:szCs w:val="20"/>
              </w:rPr>
              <w:t>0.00</w:t>
            </w:r>
            <w:r w:rsidRPr="0048605B">
              <w:rPr>
                <w:rFonts w:ascii="Times New Roman" w:hAnsi="Times New Roman" w:cs="Times New Roman"/>
                <w:color w:val="000000" w:themeColor="text1"/>
                <w:sz w:val="20"/>
                <w:szCs w:val="20"/>
              </w:rPr>
              <w:t>)</w:t>
            </w:r>
          </w:p>
        </w:tc>
        <w:tc>
          <w:tcPr>
            <w:tcW w:w="1350" w:type="dxa"/>
            <w:tcBorders>
              <w:bottom w:val="single" w:sz="4" w:space="0" w:color="auto"/>
            </w:tcBorders>
            <w:vAlign w:val="center"/>
          </w:tcPr>
          <w:p w14:paraId="45E65BB3" w14:textId="7CB6F0DA" w:rsidR="005E6DC3"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0.33</w:t>
            </w:r>
          </w:p>
          <w:p w14:paraId="6EF090C0" w14:textId="67A13ED0"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5E6DC3">
              <w:rPr>
                <w:rFonts w:ascii="Times New Roman" w:hAnsi="Times New Roman" w:cs="Times New Roman"/>
                <w:color w:val="000000" w:themeColor="text1"/>
                <w:sz w:val="20"/>
                <w:szCs w:val="20"/>
              </w:rPr>
              <w:t>1.13</w:t>
            </w:r>
            <w:r w:rsidRPr="0048605B">
              <w:rPr>
                <w:rFonts w:ascii="Times New Roman" w:hAnsi="Times New Roman" w:cs="Times New Roman"/>
                <w:color w:val="000000" w:themeColor="text1"/>
                <w:sz w:val="20"/>
                <w:szCs w:val="20"/>
              </w:rPr>
              <w:t>)</w:t>
            </w:r>
          </w:p>
        </w:tc>
        <w:tc>
          <w:tcPr>
            <w:tcW w:w="1260" w:type="dxa"/>
            <w:tcBorders>
              <w:bottom w:val="single" w:sz="4" w:space="0" w:color="auto"/>
            </w:tcBorders>
            <w:vAlign w:val="center"/>
          </w:tcPr>
          <w:p w14:paraId="1DEE06E5" w14:textId="2FF39D50" w:rsidR="0048605B" w:rsidRPr="0048605B"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8605B" w:rsidRPr="0048605B" w14:paraId="3A90C69C" w14:textId="77777777" w:rsidTr="00A55035">
        <w:tc>
          <w:tcPr>
            <w:tcW w:w="4731" w:type="dxa"/>
            <w:tcBorders>
              <w:bottom w:val="single" w:sz="4" w:space="0" w:color="auto"/>
            </w:tcBorders>
            <w:vAlign w:val="center"/>
          </w:tcPr>
          <w:p w14:paraId="450CD715"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lastRenderedPageBreak/>
              <w:t>Tenant-Occupied Non-Catastrophic Structural Fire Damage</w:t>
            </w:r>
          </w:p>
        </w:tc>
        <w:tc>
          <w:tcPr>
            <w:tcW w:w="1348" w:type="dxa"/>
            <w:tcBorders>
              <w:bottom w:val="single" w:sz="4" w:space="0" w:color="auto"/>
            </w:tcBorders>
            <w:vAlign w:val="center"/>
          </w:tcPr>
          <w:p w14:paraId="70D37E7E" w14:textId="48BC38B1" w:rsidR="001B6198" w:rsidRPr="001B6198" w:rsidRDefault="001B6198" w:rsidP="00A5503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0.06</w:t>
            </w:r>
            <w:r>
              <w:rPr>
                <w:rFonts w:ascii="Times New Roman" w:hAnsi="Times New Roman" w:cs="Times New Roman"/>
                <w:color w:val="000000" w:themeColor="text1"/>
                <w:sz w:val="20"/>
                <w:szCs w:val="20"/>
                <w:vertAlign w:val="superscript"/>
              </w:rPr>
              <w:t>**</w:t>
            </w:r>
          </w:p>
          <w:p w14:paraId="6C7569CC" w14:textId="40579DCD"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B6198">
              <w:rPr>
                <w:rFonts w:ascii="Times New Roman" w:hAnsi="Times New Roman" w:cs="Times New Roman"/>
                <w:color w:val="000000" w:themeColor="text1"/>
                <w:sz w:val="20"/>
                <w:szCs w:val="20"/>
              </w:rPr>
              <w:t>0.03</w:t>
            </w:r>
            <w:r w:rsidRPr="0048605B">
              <w:rPr>
                <w:rFonts w:ascii="Times New Roman" w:hAnsi="Times New Roman" w:cs="Times New Roman"/>
                <w:color w:val="000000" w:themeColor="text1"/>
                <w:sz w:val="20"/>
                <w:szCs w:val="20"/>
              </w:rPr>
              <w:t>)</w:t>
            </w:r>
          </w:p>
        </w:tc>
        <w:tc>
          <w:tcPr>
            <w:tcW w:w="1296" w:type="dxa"/>
            <w:tcBorders>
              <w:bottom w:val="single" w:sz="4" w:space="0" w:color="auto"/>
            </w:tcBorders>
            <w:vAlign w:val="center"/>
          </w:tcPr>
          <w:p w14:paraId="3F89654C" w14:textId="60F4ABDA" w:rsidR="001B6198" w:rsidRPr="001B6198" w:rsidRDefault="001B6198" w:rsidP="00A5503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0.07</w:t>
            </w:r>
            <w:r>
              <w:rPr>
                <w:rFonts w:ascii="Times New Roman" w:hAnsi="Times New Roman" w:cs="Times New Roman"/>
                <w:color w:val="000000" w:themeColor="text1"/>
                <w:sz w:val="20"/>
                <w:szCs w:val="20"/>
                <w:vertAlign w:val="superscript"/>
              </w:rPr>
              <w:t>***</w:t>
            </w:r>
          </w:p>
          <w:p w14:paraId="1A7381AE" w14:textId="4572E459"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B6198">
              <w:rPr>
                <w:rFonts w:ascii="Times New Roman" w:hAnsi="Times New Roman" w:cs="Times New Roman"/>
                <w:color w:val="000000" w:themeColor="text1"/>
                <w:sz w:val="20"/>
                <w:szCs w:val="20"/>
              </w:rPr>
              <w:t>0.02</w:t>
            </w:r>
            <w:r w:rsidRPr="0048605B">
              <w:rPr>
                <w:rFonts w:ascii="Times New Roman" w:hAnsi="Times New Roman" w:cs="Times New Roman"/>
                <w:color w:val="000000" w:themeColor="text1"/>
                <w:sz w:val="20"/>
                <w:szCs w:val="20"/>
              </w:rPr>
              <w:t>)</w:t>
            </w:r>
          </w:p>
        </w:tc>
        <w:tc>
          <w:tcPr>
            <w:tcW w:w="1350" w:type="dxa"/>
            <w:tcBorders>
              <w:bottom w:val="single" w:sz="4" w:space="0" w:color="auto"/>
            </w:tcBorders>
            <w:vAlign w:val="center"/>
          </w:tcPr>
          <w:p w14:paraId="425DE1E2" w14:textId="77777777" w:rsidR="0048605B"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0.04</w:t>
            </w:r>
          </w:p>
          <w:p w14:paraId="06E14255" w14:textId="1D497FCE" w:rsidR="005E6DC3" w:rsidRPr="0048605B"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w:t>
            </w:r>
          </w:p>
        </w:tc>
        <w:tc>
          <w:tcPr>
            <w:tcW w:w="1260" w:type="dxa"/>
            <w:tcBorders>
              <w:bottom w:val="single" w:sz="4" w:space="0" w:color="auto"/>
            </w:tcBorders>
            <w:vAlign w:val="center"/>
          </w:tcPr>
          <w:p w14:paraId="617C9F3B" w14:textId="77777777" w:rsidR="005E6DC3"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0.04</w:t>
            </w:r>
          </w:p>
          <w:p w14:paraId="2DA8AA0F" w14:textId="17885D94"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5E6DC3">
              <w:rPr>
                <w:rFonts w:ascii="Times New Roman" w:hAnsi="Times New Roman" w:cs="Times New Roman"/>
                <w:color w:val="000000" w:themeColor="text1"/>
                <w:sz w:val="20"/>
                <w:szCs w:val="20"/>
              </w:rPr>
              <w:t>0.03)</w:t>
            </w:r>
          </w:p>
        </w:tc>
      </w:tr>
      <w:tr w:rsidR="0048605B" w:rsidRPr="0048605B" w14:paraId="7DC2E4AB" w14:textId="77777777" w:rsidTr="00A55035">
        <w:tc>
          <w:tcPr>
            <w:tcW w:w="4731" w:type="dxa"/>
            <w:tcBorders>
              <w:bottom w:val="single" w:sz="4" w:space="0" w:color="auto"/>
            </w:tcBorders>
            <w:vAlign w:val="center"/>
          </w:tcPr>
          <w:p w14:paraId="5F201B3F"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Tenant-Occupied Non-Catastrophic Property Fire Damage</w:t>
            </w:r>
          </w:p>
        </w:tc>
        <w:tc>
          <w:tcPr>
            <w:tcW w:w="1348" w:type="dxa"/>
            <w:tcBorders>
              <w:bottom w:val="single" w:sz="4" w:space="0" w:color="auto"/>
            </w:tcBorders>
            <w:vAlign w:val="center"/>
          </w:tcPr>
          <w:p w14:paraId="4C397B93" w14:textId="0D8096C5" w:rsidR="001B6198" w:rsidRDefault="001B6198"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0.11</w:t>
            </w:r>
          </w:p>
          <w:p w14:paraId="4E0ADC15" w14:textId="5747CFCD"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1B6198">
              <w:rPr>
                <w:rFonts w:ascii="Times New Roman" w:hAnsi="Times New Roman" w:cs="Times New Roman"/>
                <w:color w:val="000000" w:themeColor="text1"/>
                <w:sz w:val="20"/>
                <w:szCs w:val="20"/>
              </w:rPr>
              <w:t>0.15</w:t>
            </w:r>
            <w:r w:rsidRPr="0048605B">
              <w:rPr>
                <w:rFonts w:ascii="Times New Roman" w:hAnsi="Times New Roman" w:cs="Times New Roman"/>
                <w:color w:val="000000" w:themeColor="text1"/>
                <w:sz w:val="20"/>
                <w:szCs w:val="20"/>
              </w:rPr>
              <w:t>)</w:t>
            </w:r>
          </w:p>
        </w:tc>
        <w:tc>
          <w:tcPr>
            <w:tcW w:w="1296" w:type="dxa"/>
            <w:tcBorders>
              <w:bottom w:val="single" w:sz="4" w:space="0" w:color="auto"/>
            </w:tcBorders>
            <w:vAlign w:val="center"/>
          </w:tcPr>
          <w:p w14:paraId="6D2D77EE" w14:textId="012A0785" w:rsidR="00EE4168" w:rsidRPr="00EE4168" w:rsidRDefault="00EE4168" w:rsidP="00A5503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0.11</w:t>
            </w:r>
            <w:r>
              <w:rPr>
                <w:rFonts w:ascii="Times New Roman" w:hAnsi="Times New Roman" w:cs="Times New Roman"/>
                <w:color w:val="000000" w:themeColor="text1"/>
                <w:sz w:val="20"/>
                <w:szCs w:val="20"/>
                <w:vertAlign w:val="superscript"/>
              </w:rPr>
              <w:t>***</w:t>
            </w:r>
          </w:p>
          <w:p w14:paraId="3E8D2E56" w14:textId="0592DF6E"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EE4168">
              <w:rPr>
                <w:rFonts w:ascii="Times New Roman" w:hAnsi="Times New Roman" w:cs="Times New Roman"/>
                <w:color w:val="000000" w:themeColor="text1"/>
                <w:sz w:val="20"/>
                <w:szCs w:val="20"/>
              </w:rPr>
              <w:t>0.03</w:t>
            </w:r>
            <w:r w:rsidRPr="0048605B">
              <w:rPr>
                <w:rFonts w:ascii="Times New Roman" w:hAnsi="Times New Roman" w:cs="Times New Roman"/>
                <w:color w:val="000000" w:themeColor="text1"/>
                <w:sz w:val="20"/>
                <w:szCs w:val="20"/>
              </w:rPr>
              <w:t>)</w:t>
            </w:r>
          </w:p>
        </w:tc>
        <w:tc>
          <w:tcPr>
            <w:tcW w:w="1350" w:type="dxa"/>
            <w:tcBorders>
              <w:bottom w:val="single" w:sz="4" w:space="0" w:color="auto"/>
            </w:tcBorders>
            <w:vAlign w:val="center"/>
          </w:tcPr>
          <w:p w14:paraId="19C4185E" w14:textId="77777777" w:rsidR="005E6DC3"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-0.54</w:t>
            </w:r>
          </w:p>
          <w:p w14:paraId="6D9791B2" w14:textId="3F3820E8"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5E6DC3">
              <w:rPr>
                <w:rFonts w:ascii="Times New Roman" w:hAnsi="Times New Roman" w:cs="Times New Roman"/>
                <w:color w:val="000000" w:themeColor="text1"/>
                <w:sz w:val="20"/>
                <w:szCs w:val="20"/>
              </w:rPr>
              <w:t>0.66</w:t>
            </w:r>
            <w:r w:rsidRPr="0048605B">
              <w:rPr>
                <w:rFonts w:ascii="Times New Roman" w:hAnsi="Times New Roman" w:cs="Times New Roman"/>
                <w:color w:val="000000" w:themeColor="text1"/>
                <w:sz w:val="20"/>
                <w:szCs w:val="20"/>
              </w:rPr>
              <w:t xml:space="preserve">)  </w:t>
            </w:r>
          </w:p>
        </w:tc>
        <w:tc>
          <w:tcPr>
            <w:tcW w:w="1260" w:type="dxa"/>
            <w:tcBorders>
              <w:bottom w:val="single" w:sz="4" w:space="0" w:color="auto"/>
            </w:tcBorders>
            <w:vAlign w:val="center"/>
          </w:tcPr>
          <w:p w14:paraId="6ABD5DC3" w14:textId="67533161" w:rsidR="0048605B" w:rsidRPr="0048605B"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48605B" w:rsidRPr="0048605B" w14:paraId="197747F2" w14:textId="77777777" w:rsidTr="00A55035">
        <w:tc>
          <w:tcPr>
            <w:tcW w:w="4731" w:type="dxa"/>
            <w:tcBorders>
              <w:bottom w:val="single" w:sz="4" w:space="0" w:color="auto"/>
            </w:tcBorders>
            <w:vAlign w:val="center"/>
          </w:tcPr>
          <w:p w14:paraId="38CB645D" w14:textId="77777777" w:rsidR="0048605B" w:rsidRPr="0048605B" w:rsidRDefault="0048605B" w:rsidP="00A55035">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Tenant-Occupied Catastrophic Structural Fire Damage</w:t>
            </w:r>
          </w:p>
        </w:tc>
        <w:tc>
          <w:tcPr>
            <w:tcW w:w="1348" w:type="dxa"/>
            <w:tcBorders>
              <w:bottom w:val="single" w:sz="4" w:space="0" w:color="auto"/>
            </w:tcBorders>
            <w:vAlign w:val="center"/>
          </w:tcPr>
          <w:p w14:paraId="293D55CA" w14:textId="77777777" w:rsidR="00EE4168" w:rsidRDefault="00EE4168" w:rsidP="00EE416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0.03</w:t>
            </w:r>
          </w:p>
          <w:p w14:paraId="4ACB0E55" w14:textId="3110FF79" w:rsidR="0048605B" w:rsidRPr="0048605B" w:rsidRDefault="00EE4168" w:rsidP="00EE416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(0.08)</w:t>
            </w:r>
          </w:p>
        </w:tc>
        <w:tc>
          <w:tcPr>
            <w:tcW w:w="1296" w:type="dxa"/>
            <w:tcBorders>
              <w:bottom w:val="single" w:sz="4" w:space="0" w:color="auto"/>
            </w:tcBorders>
            <w:vAlign w:val="center"/>
          </w:tcPr>
          <w:p w14:paraId="71825792" w14:textId="52A3A5AA" w:rsidR="0048605B" w:rsidRPr="00EE4168" w:rsidRDefault="00EE4168" w:rsidP="00A5503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0.07</w:t>
            </w:r>
            <w:r>
              <w:rPr>
                <w:rFonts w:ascii="Times New Roman" w:hAnsi="Times New Roman" w:cs="Times New Roman"/>
                <w:color w:val="000000" w:themeColor="text1"/>
                <w:sz w:val="20"/>
                <w:szCs w:val="20"/>
                <w:vertAlign w:val="superscript"/>
              </w:rPr>
              <w:t>*</w:t>
            </w:r>
          </w:p>
          <w:p w14:paraId="524879DD" w14:textId="3FFC71B9" w:rsidR="00EE4168" w:rsidRPr="0048605B" w:rsidRDefault="00EE4168"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(0.04)</w:t>
            </w:r>
          </w:p>
        </w:tc>
        <w:tc>
          <w:tcPr>
            <w:tcW w:w="1350" w:type="dxa"/>
            <w:tcBorders>
              <w:bottom w:val="single" w:sz="4" w:space="0" w:color="auto"/>
            </w:tcBorders>
            <w:vAlign w:val="center"/>
          </w:tcPr>
          <w:p w14:paraId="4177EEC6" w14:textId="197B3781" w:rsidR="0048605B" w:rsidRPr="0048605B"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-0.06</w:t>
            </w:r>
          </w:p>
          <w:p w14:paraId="310FF374" w14:textId="635A0925"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5E6DC3">
              <w:rPr>
                <w:rFonts w:ascii="Times New Roman" w:hAnsi="Times New Roman" w:cs="Times New Roman"/>
                <w:color w:val="000000" w:themeColor="text1"/>
                <w:sz w:val="20"/>
                <w:szCs w:val="20"/>
              </w:rPr>
              <w:t>0.09</w:t>
            </w:r>
            <w:r w:rsidRPr="0048605B">
              <w:rPr>
                <w:rFonts w:ascii="Times New Roman" w:hAnsi="Times New Roman" w:cs="Times New Roman"/>
                <w:color w:val="000000" w:themeColor="text1"/>
                <w:sz w:val="20"/>
                <w:szCs w:val="20"/>
              </w:rPr>
              <w:t>)</w:t>
            </w:r>
          </w:p>
        </w:tc>
        <w:tc>
          <w:tcPr>
            <w:tcW w:w="1260" w:type="dxa"/>
            <w:tcBorders>
              <w:bottom w:val="single" w:sz="4" w:space="0" w:color="auto"/>
            </w:tcBorders>
            <w:vAlign w:val="center"/>
          </w:tcPr>
          <w:p w14:paraId="4BFB7498" w14:textId="6E54E742" w:rsidR="0048605B" w:rsidRPr="0048605B"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-0.05</w:t>
            </w:r>
          </w:p>
          <w:p w14:paraId="08B4C1B1" w14:textId="28534D0A" w:rsidR="0048605B" w:rsidRPr="0048605B" w:rsidRDefault="0048605B" w:rsidP="00A55035">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w:t>
            </w:r>
            <w:r w:rsidR="005E6DC3">
              <w:rPr>
                <w:rFonts w:ascii="Times New Roman" w:hAnsi="Times New Roman" w:cs="Times New Roman"/>
                <w:color w:val="000000" w:themeColor="text1"/>
                <w:sz w:val="20"/>
                <w:szCs w:val="20"/>
              </w:rPr>
              <w:t>0.05</w:t>
            </w:r>
            <w:r w:rsidRPr="0048605B">
              <w:rPr>
                <w:rFonts w:ascii="Times New Roman" w:hAnsi="Times New Roman" w:cs="Times New Roman"/>
                <w:color w:val="000000" w:themeColor="text1"/>
                <w:sz w:val="20"/>
                <w:szCs w:val="20"/>
              </w:rPr>
              <w:t>)</w:t>
            </w:r>
          </w:p>
        </w:tc>
      </w:tr>
      <w:tr w:rsidR="00EE4168" w:rsidRPr="0048605B" w14:paraId="557FFFC0" w14:textId="77777777" w:rsidTr="00A55035">
        <w:tc>
          <w:tcPr>
            <w:tcW w:w="4731" w:type="dxa"/>
            <w:tcBorders>
              <w:bottom w:val="single" w:sz="4" w:space="0" w:color="auto"/>
            </w:tcBorders>
            <w:vAlign w:val="center"/>
          </w:tcPr>
          <w:p w14:paraId="53E1E8F4" w14:textId="6E703C5D" w:rsidR="00EE4168" w:rsidRPr="0048605B" w:rsidRDefault="00EE4168" w:rsidP="00A550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Renter/Tenant’s</w:t>
            </w:r>
            <w:r w:rsidRPr="00EE4168">
              <w:rPr>
                <w:rFonts w:ascii="Times New Roman" w:hAnsi="Times New Roman" w:cs="Times New Roman"/>
                <w:color w:val="000000" w:themeColor="text1"/>
                <w:sz w:val="20"/>
                <w:szCs w:val="20"/>
              </w:rPr>
              <w:t xml:space="preserve"> Non-Catastrophic Property Fire Damage</w:t>
            </w:r>
          </w:p>
        </w:tc>
        <w:tc>
          <w:tcPr>
            <w:tcW w:w="1348" w:type="dxa"/>
            <w:tcBorders>
              <w:bottom w:val="single" w:sz="4" w:space="0" w:color="auto"/>
            </w:tcBorders>
            <w:vAlign w:val="center"/>
          </w:tcPr>
          <w:p w14:paraId="501FB420" w14:textId="77777777" w:rsidR="00EE4168" w:rsidRDefault="00EE4168" w:rsidP="00EE416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0.28</w:t>
            </w:r>
            <w:r>
              <w:rPr>
                <w:rFonts w:ascii="Times New Roman" w:hAnsi="Times New Roman" w:cs="Times New Roman"/>
                <w:color w:val="000000" w:themeColor="text1"/>
                <w:sz w:val="20"/>
                <w:szCs w:val="20"/>
                <w:vertAlign w:val="superscript"/>
              </w:rPr>
              <w:t>*</w:t>
            </w:r>
          </w:p>
          <w:p w14:paraId="1CB2AC1D" w14:textId="31F09808" w:rsidR="00EE4168" w:rsidRPr="00EE4168" w:rsidRDefault="00EE4168" w:rsidP="00EE416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(0.16)</w:t>
            </w:r>
          </w:p>
        </w:tc>
        <w:tc>
          <w:tcPr>
            <w:tcW w:w="1296" w:type="dxa"/>
            <w:tcBorders>
              <w:bottom w:val="single" w:sz="4" w:space="0" w:color="auto"/>
            </w:tcBorders>
            <w:vAlign w:val="center"/>
          </w:tcPr>
          <w:p w14:paraId="5DCE961D" w14:textId="77777777" w:rsidR="00EE4168" w:rsidRDefault="009A2DDB"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0.14</w:t>
            </w:r>
          </w:p>
          <w:p w14:paraId="0D81955A" w14:textId="7B29B519" w:rsidR="009A2DDB" w:rsidRDefault="009A2DDB"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(0.20)</w:t>
            </w:r>
          </w:p>
        </w:tc>
        <w:tc>
          <w:tcPr>
            <w:tcW w:w="1350" w:type="dxa"/>
            <w:tcBorders>
              <w:bottom w:val="single" w:sz="4" w:space="0" w:color="auto"/>
            </w:tcBorders>
            <w:vAlign w:val="center"/>
          </w:tcPr>
          <w:p w14:paraId="45B7397B" w14:textId="77777777" w:rsidR="00EE4168"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-0.40</w:t>
            </w:r>
          </w:p>
          <w:p w14:paraId="3F4B55BE" w14:textId="14FD2327" w:rsidR="005E6DC3" w:rsidRPr="0048605B"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(0.59)</w:t>
            </w:r>
          </w:p>
        </w:tc>
        <w:tc>
          <w:tcPr>
            <w:tcW w:w="1260" w:type="dxa"/>
            <w:tcBorders>
              <w:bottom w:val="single" w:sz="4" w:space="0" w:color="auto"/>
            </w:tcBorders>
            <w:vAlign w:val="center"/>
          </w:tcPr>
          <w:p w14:paraId="105418A1" w14:textId="6BE03D36" w:rsidR="00EE4168" w:rsidRPr="005E6DC3" w:rsidRDefault="005E6DC3" w:rsidP="00A55035">
            <w:pPr>
              <w:jc w:val="center"/>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-0.19</w:t>
            </w:r>
            <w:r>
              <w:rPr>
                <w:rFonts w:ascii="Times New Roman" w:hAnsi="Times New Roman" w:cs="Times New Roman"/>
                <w:color w:val="000000" w:themeColor="text1"/>
                <w:sz w:val="20"/>
                <w:szCs w:val="20"/>
                <w:vertAlign w:val="superscript"/>
              </w:rPr>
              <w:t>***</w:t>
            </w:r>
          </w:p>
          <w:p w14:paraId="48252EC4" w14:textId="6CF290AC" w:rsidR="005E6DC3" w:rsidRPr="0048605B" w:rsidRDefault="005E6DC3" w:rsidP="00A550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(0.07)</w:t>
            </w:r>
          </w:p>
        </w:tc>
      </w:tr>
      <w:tr w:rsidR="0048605B" w:rsidRPr="0048605B" w14:paraId="16529319" w14:textId="77777777" w:rsidTr="00A55035">
        <w:tc>
          <w:tcPr>
            <w:tcW w:w="4731" w:type="dxa"/>
            <w:tcBorders>
              <w:right w:val="nil"/>
            </w:tcBorders>
            <w:vAlign w:val="center"/>
          </w:tcPr>
          <w:p w14:paraId="100FBB93" w14:textId="77777777" w:rsidR="0048605B" w:rsidRPr="0048605B" w:rsidRDefault="0048605B" w:rsidP="00A55035">
            <w:pPr>
              <w:rPr>
                <w:rFonts w:ascii="Times New Roman" w:hAnsi="Times New Roman" w:cs="Times New Roman"/>
                <w:color w:val="000000" w:themeColor="text1"/>
                <w:sz w:val="22"/>
                <w:szCs w:val="22"/>
              </w:rPr>
            </w:pPr>
          </w:p>
        </w:tc>
        <w:tc>
          <w:tcPr>
            <w:tcW w:w="1348" w:type="dxa"/>
            <w:tcBorders>
              <w:left w:val="nil"/>
              <w:bottom w:val="single" w:sz="4" w:space="0" w:color="auto"/>
              <w:right w:val="nil"/>
            </w:tcBorders>
            <w:vAlign w:val="center"/>
          </w:tcPr>
          <w:p w14:paraId="469BB3C5" w14:textId="77777777" w:rsidR="0048605B" w:rsidRPr="0048605B" w:rsidRDefault="0048605B" w:rsidP="00A55035">
            <w:pPr>
              <w:jc w:val="center"/>
              <w:rPr>
                <w:rFonts w:ascii="Times New Roman" w:hAnsi="Times New Roman" w:cs="Times New Roman"/>
                <w:color w:val="000000" w:themeColor="text1"/>
                <w:sz w:val="22"/>
                <w:szCs w:val="22"/>
              </w:rPr>
            </w:pPr>
          </w:p>
        </w:tc>
        <w:tc>
          <w:tcPr>
            <w:tcW w:w="1296" w:type="dxa"/>
            <w:tcBorders>
              <w:left w:val="nil"/>
              <w:bottom w:val="single" w:sz="4" w:space="0" w:color="auto"/>
              <w:right w:val="nil"/>
            </w:tcBorders>
            <w:vAlign w:val="center"/>
          </w:tcPr>
          <w:p w14:paraId="5E4C5D56" w14:textId="77777777" w:rsidR="0048605B" w:rsidRPr="0048605B" w:rsidRDefault="0048605B" w:rsidP="00A55035">
            <w:pPr>
              <w:jc w:val="center"/>
              <w:rPr>
                <w:rFonts w:ascii="Times New Roman" w:hAnsi="Times New Roman" w:cs="Times New Roman"/>
                <w:color w:val="000000" w:themeColor="text1"/>
                <w:sz w:val="22"/>
                <w:szCs w:val="22"/>
              </w:rPr>
            </w:pPr>
          </w:p>
        </w:tc>
        <w:tc>
          <w:tcPr>
            <w:tcW w:w="1350" w:type="dxa"/>
            <w:tcBorders>
              <w:left w:val="nil"/>
              <w:bottom w:val="single" w:sz="4" w:space="0" w:color="auto"/>
              <w:right w:val="nil"/>
            </w:tcBorders>
            <w:vAlign w:val="center"/>
          </w:tcPr>
          <w:p w14:paraId="32A5A51A" w14:textId="77777777" w:rsidR="0048605B" w:rsidRPr="0048605B" w:rsidRDefault="0048605B" w:rsidP="00A55035">
            <w:pPr>
              <w:jc w:val="center"/>
              <w:rPr>
                <w:rFonts w:ascii="Times New Roman" w:hAnsi="Times New Roman" w:cs="Times New Roman"/>
                <w:color w:val="000000" w:themeColor="text1"/>
                <w:sz w:val="22"/>
                <w:szCs w:val="22"/>
              </w:rPr>
            </w:pPr>
          </w:p>
        </w:tc>
        <w:tc>
          <w:tcPr>
            <w:tcW w:w="1260" w:type="dxa"/>
            <w:tcBorders>
              <w:left w:val="nil"/>
              <w:bottom w:val="single" w:sz="4" w:space="0" w:color="auto"/>
              <w:right w:val="single" w:sz="4" w:space="0" w:color="auto"/>
            </w:tcBorders>
            <w:vAlign w:val="center"/>
          </w:tcPr>
          <w:p w14:paraId="17BBAFC3" w14:textId="77777777" w:rsidR="0048605B" w:rsidRPr="0048605B" w:rsidRDefault="0048605B" w:rsidP="00A55035">
            <w:pPr>
              <w:jc w:val="center"/>
              <w:rPr>
                <w:rFonts w:ascii="Times New Roman" w:hAnsi="Times New Roman" w:cs="Times New Roman"/>
                <w:color w:val="000000" w:themeColor="text1"/>
                <w:sz w:val="22"/>
                <w:szCs w:val="22"/>
              </w:rPr>
            </w:pPr>
          </w:p>
        </w:tc>
      </w:tr>
      <w:tr w:rsidR="0048605B" w:rsidRPr="0048605B" w14:paraId="031AC024" w14:textId="77777777" w:rsidTr="00A55035">
        <w:tc>
          <w:tcPr>
            <w:tcW w:w="4731" w:type="dxa"/>
            <w:tcBorders>
              <w:bottom w:val="nil"/>
              <w:right w:val="nil"/>
            </w:tcBorders>
          </w:tcPr>
          <w:p w14:paraId="78E1F5F4" w14:textId="77777777" w:rsidR="0048605B" w:rsidRPr="0048605B" w:rsidRDefault="0048605B" w:rsidP="00A55035">
            <w:pPr>
              <w:jc w:val="center"/>
              <w:rPr>
                <w:rFonts w:ascii="Times New Roman" w:hAnsi="Times New Roman" w:cs="Times New Roman"/>
                <w:i/>
                <w:iCs/>
                <w:color w:val="000000" w:themeColor="text1"/>
                <w:sz w:val="22"/>
                <w:szCs w:val="22"/>
              </w:rPr>
            </w:pPr>
            <w:r w:rsidRPr="0048605B">
              <w:rPr>
                <w:rFonts w:ascii="Times New Roman" w:hAnsi="Times New Roman" w:cs="Times New Roman"/>
                <w:i/>
                <w:iCs/>
                <w:color w:val="000000" w:themeColor="text1"/>
                <w:sz w:val="22"/>
                <w:szCs w:val="22"/>
              </w:rPr>
              <w:t>Fixed Effects Inclusion</w:t>
            </w:r>
          </w:p>
        </w:tc>
        <w:tc>
          <w:tcPr>
            <w:tcW w:w="1348" w:type="dxa"/>
            <w:tcBorders>
              <w:left w:val="nil"/>
              <w:bottom w:val="nil"/>
              <w:right w:val="nil"/>
            </w:tcBorders>
          </w:tcPr>
          <w:p w14:paraId="0FA5839C" w14:textId="77777777" w:rsidR="0048605B" w:rsidRPr="0048605B" w:rsidRDefault="0048605B" w:rsidP="00A55035">
            <w:pPr>
              <w:jc w:val="center"/>
              <w:rPr>
                <w:rFonts w:ascii="Times New Roman" w:hAnsi="Times New Roman" w:cs="Times New Roman"/>
                <w:color w:val="000000" w:themeColor="text1"/>
                <w:sz w:val="22"/>
                <w:szCs w:val="22"/>
              </w:rPr>
            </w:pPr>
          </w:p>
        </w:tc>
        <w:tc>
          <w:tcPr>
            <w:tcW w:w="1296" w:type="dxa"/>
            <w:tcBorders>
              <w:left w:val="nil"/>
              <w:bottom w:val="nil"/>
              <w:right w:val="nil"/>
            </w:tcBorders>
          </w:tcPr>
          <w:p w14:paraId="5BB6B5C9" w14:textId="77777777" w:rsidR="0048605B" w:rsidRPr="0048605B" w:rsidRDefault="0048605B" w:rsidP="00A55035">
            <w:pPr>
              <w:jc w:val="center"/>
              <w:rPr>
                <w:rFonts w:ascii="Times New Roman" w:hAnsi="Times New Roman" w:cs="Times New Roman"/>
                <w:color w:val="000000" w:themeColor="text1"/>
                <w:sz w:val="22"/>
                <w:szCs w:val="22"/>
              </w:rPr>
            </w:pPr>
          </w:p>
        </w:tc>
        <w:tc>
          <w:tcPr>
            <w:tcW w:w="1350" w:type="dxa"/>
            <w:tcBorders>
              <w:left w:val="nil"/>
              <w:bottom w:val="nil"/>
              <w:right w:val="nil"/>
            </w:tcBorders>
          </w:tcPr>
          <w:p w14:paraId="0B68D01E" w14:textId="77777777" w:rsidR="0048605B" w:rsidRPr="0048605B" w:rsidRDefault="0048605B" w:rsidP="00A55035">
            <w:pPr>
              <w:jc w:val="center"/>
              <w:rPr>
                <w:rFonts w:ascii="Times New Roman" w:hAnsi="Times New Roman" w:cs="Times New Roman"/>
                <w:color w:val="000000" w:themeColor="text1"/>
                <w:sz w:val="22"/>
                <w:szCs w:val="22"/>
              </w:rPr>
            </w:pPr>
          </w:p>
        </w:tc>
        <w:tc>
          <w:tcPr>
            <w:tcW w:w="1260" w:type="dxa"/>
            <w:tcBorders>
              <w:left w:val="nil"/>
              <w:bottom w:val="nil"/>
            </w:tcBorders>
          </w:tcPr>
          <w:p w14:paraId="4F04B82F" w14:textId="77777777" w:rsidR="0048605B" w:rsidRPr="0048605B" w:rsidRDefault="0048605B" w:rsidP="00A55035">
            <w:pPr>
              <w:jc w:val="center"/>
              <w:rPr>
                <w:rFonts w:ascii="Times New Roman" w:hAnsi="Times New Roman" w:cs="Times New Roman"/>
                <w:color w:val="000000" w:themeColor="text1"/>
                <w:sz w:val="22"/>
                <w:szCs w:val="22"/>
              </w:rPr>
            </w:pPr>
          </w:p>
        </w:tc>
      </w:tr>
      <w:tr w:rsidR="0048605B" w:rsidRPr="0048605B" w14:paraId="71800FFC" w14:textId="77777777" w:rsidTr="00A55035">
        <w:tc>
          <w:tcPr>
            <w:tcW w:w="4731" w:type="dxa"/>
            <w:tcBorders>
              <w:top w:val="nil"/>
              <w:left w:val="single" w:sz="4" w:space="0" w:color="auto"/>
              <w:bottom w:val="nil"/>
              <w:right w:val="nil"/>
            </w:tcBorders>
          </w:tcPr>
          <w:p w14:paraId="3449C91F" w14:textId="77777777" w:rsidR="0048605B" w:rsidRPr="0048605B" w:rsidRDefault="0048605B" w:rsidP="00A55035">
            <w:pP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Year Fixed Effects</w:t>
            </w:r>
          </w:p>
        </w:tc>
        <w:tc>
          <w:tcPr>
            <w:tcW w:w="1348" w:type="dxa"/>
            <w:tcBorders>
              <w:top w:val="nil"/>
              <w:left w:val="nil"/>
              <w:bottom w:val="nil"/>
              <w:right w:val="nil"/>
            </w:tcBorders>
          </w:tcPr>
          <w:p w14:paraId="0DB56BE8"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Yes</w:t>
            </w:r>
          </w:p>
        </w:tc>
        <w:tc>
          <w:tcPr>
            <w:tcW w:w="1296" w:type="dxa"/>
            <w:tcBorders>
              <w:top w:val="nil"/>
              <w:left w:val="nil"/>
              <w:bottom w:val="nil"/>
              <w:right w:val="nil"/>
            </w:tcBorders>
          </w:tcPr>
          <w:p w14:paraId="03F94BE5"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Yes</w:t>
            </w:r>
          </w:p>
        </w:tc>
        <w:tc>
          <w:tcPr>
            <w:tcW w:w="1350" w:type="dxa"/>
            <w:tcBorders>
              <w:top w:val="nil"/>
              <w:left w:val="nil"/>
              <w:bottom w:val="nil"/>
              <w:right w:val="nil"/>
            </w:tcBorders>
          </w:tcPr>
          <w:p w14:paraId="0DE154E7"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Yes</w:t>
            </w:r>
          </w:p>
        </w:tc>
        <w:tc>
          <w:tcPr>
            <w:tcW w:w="1260" w:type="dxa"/>
            <w:tcBorders>
              <w:top w:val="nil"/>
              <w:left w:val="nil"/>
              <w:bottom w:val="nil"/>
            </w:tcBorders>
          </w:tcPr>
          <w:p w14:paraId="1882EB0D"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Yes</w:t>
            </w:r>
          </w:p>
        </w:tc>
      </w:tr>
      <w:tr w:rsidR="0048605B" w:rsidRPr="0048605B" w14:paraId="58B81077" w14:textId="77777777" w:rsidTr="00A55035">
        <w:tc>
          <w:tcPr>
            <w:tcW w:w="4731" w:type="dxa"/>
            <w:tcBorders>
              <w:top w:val="nil"/>
              <w:left w:val="single" w:sz="4" w:space="0" w:color="auto"/>
              <w:bottom w:val="nil"/>
              <w:right w:val="nil"/>
            </w:tcBorders>
          </w:tcPr>
          <w:p w14:paraId="58F23493" w14:textId="77777777" w:rsidR="0048605B" w:rsidRPr="0048605B" w:rsidRDefault="0048605B" w:rsidP="00A55035">
            <w:pP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Primary City Fixed Effects</w:t>
            </w:r>
          </w:p>
        </w:tc>
        <w:tc>
          <w:tcPr>
            <w:tcW w:w="1348" w:type="dxa"/>
            <w:tcBorders>
              <w:top w:val="nil"/>
              <w:left w:val="nil"/>
              <w:bottom w:val="nil"/>
              <w:right w:val="nil"/>
            </w:tcBorders>
          </w:tcPr>
          <w:p w14:paraId="5ED7D92C"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Yes</w:t>
            </w:r>
          </w:p>
        </w:tc>
        <w:tc>
          <w:tcPr>
            <w:tcW w:w="1296" w:type="dxa"/>
            <w:tcBorders>
              <w:top w:val="nil"/>
              <w:left w:val="nil"/>
              <w:bottom w:val="nil"/>
              <w:right w:val="nil"/>
            </w:tcBorders>
          </w:tcPr>
          <w:p w14:paraId="19B34ACC"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No</w:t>
            </w:r>
          </w:p>
        </w:tc>
        <w:tc>
          <w:tcPr>
            <w:tcW w:w="1350" w:type="dxa"/>
            <w:tcBorders>
              <w:top w:val="nil"/>
              <w:left w:val="nil"/>
              <w:bottom w:val="nil"/>
              <w:right w:val="nil"/>
            </w:tcBorders>
          </w:tcPr>
          <w:p w14:paraId="0E493779"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Yes</w:t>
            </w:r>
          </w:p>
        </w:tc>
        <w:tc>
          <w:tcPr>
            <w:tcW w:w="1260" w:type="dxa"/>
            <w:tcBorders>
              <w:top w:val="nil"/>
              <w:left w:val="nil"/>
              <w:bottom w:val="nil"/>
            </w:tcBorders>
          </w:tcPr>
          <w:p w14:paraId="29E1DBC0"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No</w:t>
            </w:r>
          </w:p>
        </w:tc>
      </w:tr>
      <w:tr w:rsidR="0048605B" w:rsidRPr="0048605B" w14:paraId="3D8786E6" w14:textId="77777777" w:rsidTr="00A55035">
        <w:tc>
          <w:tcPr>
            <w:tcW w:w="4731" w:type="dxa"/>
            <w:tcBorders>
              <w:top w:val="nil"/>
              <w:bottom w:val="single" w:sz="4" w:space="0" w:color="auto"/>
              <w:right w:val="nil"/>
            </w:tcBorders>
          </w:tcPr>
          <w:p w14:paraId="285C9C85" w14:textId="77777777" w:rsidR="0048605B" w:rsidRPr="0048605B" w:rsidRDefault="0048605B" w:rsidP="00A55035">
            <w:pP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Zip-code Fixed Effects</w:t>
            </w:r>
          </w:p>
        </w:tc>
        <w:tc>
          <w:tcPr>
            <w:tcW w:w="1348" w:type="dxa"/>
            <w:tcBorders>
              <w:top w:val="nil"/>
              <w:left w:val="nil"/>
              <w:bottom w:val="single" w:sz="4" w:space="0" w:color="auto"/>
              <w:right w:val="nil"/>
            </w:tcBorders>
          </w:tcPr>
          <w:p w14:paraId="03ED5464"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No</w:t>
            </w:r>
          </w:p>
        </w:tc>
        <w:tc>
          <w:tcPr>
            <w:tcW w:w="1296" w:type="dxa"/>
            <w:tcBorders>
              <w:top w:val="nil"/>
              <w:left w:val="nil"/>
              <w:bottom w:val="single" w:sz="4" w:space="0" w:color="auto"/>
              <w:right w:val="nil"/>
            </w:tcBorders>
          </w:tcPr>
          <w:p w14:paraId="42CB2B0A"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Yes</w:t>
            </w:r>
          </w:p>
        </w:tc>
        <w:tc>
          <w:tcPr>
            <w:tcW w:w="1350" w:type="dxa"/>
            <w:tcBorders>
              <w:top w:val="nil"/>
              <w:left w:val="nil"/>
              <w:bottom w:val="single" w:sz="4" w:space="0" w:color="auto"/>
              <w:right w:val="nil"/>
            </w:tcBorders>
          </w:tcPr>
          <w:p w14:paraId="073EE6A5"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No</w:t>
            </w:r>
          </w:p>
        </w:tc>
        <w:tc>
          <w:tcPr>
            <w:tcW w:w="1260" w:type="dxa"/>
            <w:tcBorders>
              <w:top w:val="nil"/>
              <w:left w:val="nil"/>
              <w:bottom w:val="single" w:sz="4" w:space="0" w:color="auto"/>
            </w:tcBorders>
          </w:tcPr>
          <w:p w14:paraId="1322EA69" w14:textId="77777777" w:rsidR="0048605B" w:rsidRPr="0048605B" w:rsidRDefault="0048605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Yes</w:t>
            </w:r>
          </w:p>
        </w:tc>
      </w:tr>
    </w:tbl>
    <w:p w14:paraId="098E7C67" w14:textId="77777777" w:rsidR="0048605B" w:rsidRPr="0048605B" w:rsidRDefault="0048605B" w:rsidP="0048605B">
      <w:pPr>
        <w:rPr>
          <w:rFonts w:ascii="Times New Roman" w:hAnsi="Times New Roman" w:cs="Times New Roman"/>
          <w:color w:val="000000" w:themeColor="text1"/>
          <w:sz w:val="20"/>
          <w:szCs w:val="20"/>
        </w:rPr>
      </w:pPr>
    </w:p>
    <w:p w14:paraId="1AF8ADD3" w14:textId="77777777" w:rsidR="00C75E7D" w:rsidRPr="00725B3B" w:rsidRDefault="00C75E7D" w:rsidP="00C75E7D">
      <w:pPr>
        <w:rPr>
          <w:rFonts w:ascii="Times New Roman" w:hAnsi="Times New Roman" w:cs="Times New Roman"/>
          <w:sz w:val="18"/>
          <w:szCs w:val="18"/>
        </w:rPr>
      </w:pPr>
      <w:r w:rsidRPr="00725B3B">
        <w:rPr>
          <w:rFonts w:ascii="Times New Roman" w:hAnsi="Times New Roman" w:cs="Times New Roman"/>
          <w:sz w:val="18"/>
          <w:szCs w:val="18"/>
        </w:rPr>
        <w:t>Notes:</w:t>
      </w:r>
    </w:p>
    <w:p w14:paraId="513144C1" w14:textId="77777777" w:rsidR="00C75E7D" w:rsidRPr="00725B3B" w:rsidRDefault="00C75E7D" w:rsidP="00C75E7D">
      <w:pPr>
        <w:pStyle w:val="ListParagraph"/>
        <w:numPr>
          <w:ilvl w:val="0"/>
          <w:numId w:val="5"/>
        </w:numPr>
        <w:rPr>
          <w:rFonts w:ascii="Times New Roman" w:hAnsi="Times New Roman" w:cs="Times New Roman"/>
          <w:sz w:val="18"/>
          <w:szCs w:val="18"/>
        </w:rPr>
      </w:pPr>
      <w:r w:rsidRPr="00725B3B">
        <w:rPr>
          <w:rFonts w:ascii="Times New Roman" w:hAnsi="Times New Roman" w:cs="Times New Roman"/>
          <w:sz w:val="18"/>
          <w:szCs w:val="18"/>
        </w:rPr>
        <w:t>Standard errors (in brackets) are clustered at zip-code level and primary city level when fixed effects are included at the zip-code and city levels, respectively.</w:t>
      </w:r>
    </w:p>
    <w:p w14:paraId="6A27766E" w14:textId="77777777" w:rsidR="00C75E7D" w:rsidRDefault="00C75E7D" w:rsidP="00C75E7D">
      <w:pPr>
        <w:pStyle w:val="ListParagraph"/>
        <w:numPr>
          <w:ilvl w:val="0"/>
          <w:numId w:val="5"/>
        </w:numPr>
        <w:rPr>
          <w:rFonts w:ascii="Times New Roman" w:hAnsi="Times New Roman" w:cs="Times New Roman"/>
          <w:sz w:val="18"/>
          <w:szCs w:val="18"/>
        </w:rPr>
      </w:pPr>
      <w:r w:rsidRPr="00725B3B">
        <w:rPr>
          <w:rFonts w:ascii="Times New Roman" w:hAnsi="Times New Roman" w:cs="Times New Roman"/>
          <w:sz w:val="18"/>
          <w:szCs w:val="18"/>
          <w:vertAlign w:val="superscript"/>
        </w:rPr>
        <w:t>*</w:t>
      </w:r>
      <w:r w:rsidRPr="00725B3B">
        <w:rPr>
          <w:rFonts w:ascii="Times New Roman" w:hAnsi="Times New Roman" w:cs="Times New Roman"/>
          <w:sz w:val="18"/>
          <w:szCs w:val="18"/>
        </w:rPr>
        <w:t xml:space="preserve">, </w:t>
      </w:r>
      <w:r w:rsidRPr="00725B3B">
        <w:rPr>
          <w:rFonts w:ascii="Times New Roman" w:hAnsi="Times New Roman" w:cs="Times New Roman"/>
          <w:sz w:val="18"/>
          <w:szCs w:val="18"/>
          <w:vertAlign w:val="superscript"/>
        </w:rPr>
        <w:t>**</w:t>
      </w:r>
      <w:r w:rsidRPr="00725B3B">
        <w:rPr>
          <w:rFonts w:ascii="Times New Roman" w:hAnsi="Times New Roman" w:cs="Times New Roman"/>
          <w:sz w:val="18"/>
          <w:szCs w:val="18"/>
        </w:rPr>
        <w:t xml:space="preserve">, </w:t>
      </w:r>
      <w:r w:rsidRPr="00725B3B">
        <w:rPr>
          <w:rFonts w:ascii="Times New Roman" w:hAnsi="Times New Roman" w:cs="Times New Roman"/>
          <w:sz w:val="18"/>
          <w:szCs w:val="18"/>
          <w:vertAlign w:val="superscript"/>
        </w:rPr>
        <w:t>***</w:t>
      </w:r>
      <w:r w:rsidRPr="00725B3B">
        <w:rPr>
          <w:rFonts w:ascii="Times New Roman" w:hAnsi="Times New Roman" w:cs="Times New Roman"/>
          <w:sz w:val="18"/>
          <w:szCs w:val="18"/>
        </w:rPr>
        <w:t xml:space="preserve"> imply that coefficients are significant at 10%, 5% and 1% levels, respectively.</w:t>
      </w:r>
    </w:p>
    <w:p w14:paraId="5B14F3E0" w14:textId="77777777" w:rsidR="0048605B" w:rsidRDefault="0048605B" w:rsidP="0048605B">
      <w:pPr>
        <w:rPr>
          <w:rFonts w:ascii="Times New Roman" w:hAnsi="Times New Roman" w:cs="Times New Roman"/>
          <w:sz w:val="18"/>
          <w:szCs w:val="18"/>
        </w:rPr>
      </w:pPr>
    </w:p>
    <w:p w14:paraId="0F5E83C5" w14:textId="77777777" w:rsidR="003F307D" w:rsidRDefault="003F307D" w:rsidP="0048605B">
      <w:pPr>
        <w:rPr>
          <w:rFonts w:ascii="Times New Roman" w:hAnsi="Times New Roman" w:cs="Times New Roman"/>
          <w:sz w:val="18"/>
          <w:szCs w:val="18"/>
        </w:rPr>
      </w:pPr>
    </w:p>
    <w:p w14:paraId="23F57969" w14:textId="77777777" w:rsidR="004E2408" w:rsidRDefault="003F307D" w:rsidP="0048605B">
      <w:pPr>
        <w:rPr>
          <w:rFonts w:ascii="Times New Roman" w:hAnsi="Times New Roman" w:cs="Times New Roman"/>
          <w:color w:val="000000" w:themeColor="text1"/>
          <w:sz w:val="22"/>
          <w:szCs w:val="22"/>
        </w:rPr>
      </w:pPr>
      <w:r>
        <w:rPr>
          <w:rFonts w:ascii="Times New Roman" w:hAnsi="Times New Roman" w:cs="Times New Roman"/>
          <w:sz w:val="22"/>
          <w:szCs w:val="22"/>
        </w:rPr>
        <w:t xml:space="preserve">It appears that in the short term, with city and year fixed effects, the presence of the moratorium is associated with an </w:t>
      </w:r>
      <w:r w:rsidRPr="003F307D">
        <w:rPr>
          <w:rFonts w:ascii="Times New Roman" w:hAnsi="Times New Roman" w:cs="Times New Roman"/>
          <w:sz w:val="22"/>
          <w:szCs w:val="22"/>
        </w:rPr>
        <w:t xml:space="preserve">increase in </w:t>
      </w:r>
      <w:r>
        <w:rPr>
          <w:rFonts w:ascii="Times New Roman" w:hAnsi="Times New Roman" w:cs="Times New Roman"/>
          <w:color w:val="000000" w:themeColor="text1"/>
          <w:sz w:val="22"/>
          <w:szCs w:val="22"/>
        </w:rPr>
        <w:t>insurance premiums in zip codes that encountered n</w:t>
      </w:r>
      <w:r w:rsidRPr="003F307D">
        <w:rPr>
          <w:rFonts w:ascii="Times New Roman" w:hAnsi="Times New Roman" w:cs="Times New Roman"/>
          <w:color w:val="000000" w:themeColor="text1"/>
          <w:sz w:val="22"/>
          <w:szCs w:val="22"/>
        </w:rPr>
        <w:t>on-</w:t>
      </w:r>
      <w:r>
        <w:rPr>
          <w:rFonts w:ascii="Times New Roman" w:hAnsi="Times New Roman" w:cs="Times New Roman"/>
          <w:color w:val="000000" w:themeColor="text1"/>
          <w:sz w:val="22"/>
          <w:szCs w:val="22"/>
        </w:rPr>
        <w:t>c</w:t>
      </w:r>
      <w:r w:rsidRPr="003F307D">
        <w:rPr>
          <w:rFonts w:ascii="Times New Roman" w:hAnsi="Times New Roman" w:cs="Times New Roman"/>
          <w:color w:val="000000" w:themeColor="text1"/>
          <w:sz w:val="22"/>
          <w:szCs w:val="22"/>
        </w:rPr>
        <w:t xml:space="preserve">atastrophic </w:t>
      </w:r>
      <w:r>
        <w:rPr>
          <w:rFonts w:ascii="Times New Roman" w:hAnsi="Times New Roman" w:cs="Times New Roman"/>
          <w:color w:val="000000" w:themeColor="text1"/>
          <w:sz w:val="22"/>
          <w:szCs w:val="22"/>
        </w:rPr>
        <w:t>s</w:t>
      </w:r>
      <w:r w:rsidRPr="003F307D">
        <w:rPr>
          <w:rFonts w:ascii="Times New Roman" w:hAnsi="Times New Roman" w:cs="Times New Roman"/>
          <w:color w:val="000000" w:themeColor="text1"/>
          <w:sz w:val="22"/>
          <w:szCs w:val="22"/>
        </w:rPr>
        <w:t xml:space="preserve">tructural </w:t>
      </w:r>
      <w:r>
        <w:rPr>
          <w:rFonts w:ascii="Times New Roman" w:hAnsi="Times New Roman" w:cs="Times New Roman"/>
          <w:color w:val="000000" w:themeColor="text1"/>
          <w:sz w:val="22"/>
          <w:szCs w:val="22"/>
        </w:rPr>
        <w:t>f</w:t>
      </w:r>
      <w:r w:rsidRPr="003F307D">
        <w:rPr>
          <w:rFonts w:ascii="Times New Roman" w:hAnsi="Times New Roman" w:cs="Times New Roman"/>
          <w:color w:val="000000" w:themeColor="text1"/>
          <w:sz w:val="22"/>
          <w:szCs w:val="22"/>
        </w:rPr>
        <w:t xml:space="preserve">ire </w:t>
      </w:r>
      <w:r>
        <w:rPr>
          <w:rFonts w:ascii="Times New Roman" w:hAnsi="Times New Roman" w:cs="Times New Roman"/>
          <w:color w:val="000000" w:themeColor="text1"/>
          <w:sz w:val="22"/>
          <w:szCs w:val="22"/>
        </w:rPr>
        <w:t>d</w:t>
      </w:r>
      <w:r w:rsidRPr="003F307D">
        <w:rPr>
          <w:rFonts w:ascii="Times New Roman" w:hAnsi="Times New Roman" w:cs="Times New Roman"/>
          <w:color w:val="000000" w:themeColor="text1"/>
          <w:sz w:val="22"/>
          <w:szCs w:val="22"/>
        </w:rPr>
        <w:t>amage</w:t>
      </w:r>
      <w:r>
        <w:rPr>
          <w:rFonts w:ascii="Times New Roman" w:hAnsi="Times New Roman" w:cs="Times New Roman"/>
          <w:color w:val="000000" w:themeColor="text1"/>
          <w:sz w:val="22"/>
          <w:szCs w:val="22"/>
        </w:rPr>
        <w:t xml:space="preserve"> in owner and tenant-occupied dwellings, as well as those that encountered non-catastrophic structural property damage in renter’s/tenant’s policies. The moratorium is associated with a rise in premiums by approximately 26% in tenant occupied dwellings.</w:t>
      </w:r>
    </w:p>
    <w:p w14:paraId="6F8D19AC" w14:textId="77777777" w:rsidR="004E2408" w:rsidRDefault="004E2408" w:rsidP="0048605B">
      <w:pPr>
        <w:rPr>
          <w:rFonts w:ascii="Times New Roman" w:hAnsi="Times New Roman" w:cs="Times New Roman"/>
          <w:color w:val="000000" w:themeColor="text1"/>
          <w:sz w:val="22"/>
          <w:szCs w:val="22"/>
        </w:rPr>
      </w:pPr>
    </w:p>
    <w:p w14:paraId="5567A968" w14:textId="1B3F8990" w:rsidR="003F307D" w:rsidRDefault="003F307D" w:rsidP="0048605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Delving deeper into the geography</w:t>
      </w:r>
      <w:proofErr w:type="gramStart"/>
      <w:r>
        <w:rPr>
          <w:rFonts w:ascii="Times New Roman" w:hAnsi="Times New Roman" w:cs="Times New Roman"/>
          <w:color w:val="000000" w:themeColor="text1"/>
          <w:sz w:val="22"/>
          <w:szCs w:val="22"/>
        </w:rPr>
        <w:t>, introducing zip-code fixed effects, it</w:t>
      </w:r>
      <w:proofErr w:type="gramEnd"/>
      <w:r>
        <w:rPr>
          <w:rFonts w:ascii="Times New Roman" w:hAnsi="Times New Roman" w:cs="Times New Roman"/>
          <w:color w:val="000000" w:themeColor="text1"/>
          <w:sz w:val="22"/>
          <w:szCs w:val="22"/>
        </w:rPr>
        <w:t xml:space="preserve"> appears that the moratorium is associated with increases in premiums for zip codes that observed non-catastrophic structure and fire damage in owner and tenant occupied dwellings </w:t>
      </w:r>
      <w:r w:rsidR="003D2787">
        <w:rPr>
          <w:rFonts w:ascii="Times New Roman" w:hAnsi="Times New Roman" w:cs="Times New Roman"/>
          <w:color w:val="000000" w:themeColor="text1"/>
          <w:sz w:val="22"/>
          <w:szCs w:val="22"/>
        </w:rPr>
        <w:t>and</w:t>
      </w:r>
      <w:r>
        <w:rPr>
          <w:rFonts w:ascii="Times New Roman" w:hAnsi="Times New Roman" w:cs="Times New Roman"/>
          <w:color w:val="000000" w:themeColor="text1"/>
          <w:sz w:val="22"/>
          <w:szCs w:val="22"/>
        </w:rPr>
        <w:t xml:space="preserve"> catastrophic structural and fire damage in tenant-occupied dwellings. In the longer panel, with zip-code fixed effects</w:t>
      </w:r>
      <w:r w:rsidR="003D2787">
        <w:rPr>
          <w:rFonts w:ascii="Times New Roman" w:hAnsi="Times New Roman" w:cs="Times New Roman"/>
          <w:color w:val="000000" w:themeColor="text1"/>
          <w:sz w:val="22"/>
          <w:szCs w:val="22"/>
        </w:rPr>
        <w:t>, locations with claims made on o</w:t>
      </w:r>
      <w:r w:rsidR="003D2787" w:rsidRPr="003D2787">
        <w:rPr>
          <w:rFonts w:ascii="Times New Roman" w:hAnsi="Times New Roman" w:cs="Times New Roman"/>
          <w:color w:val="000000" w:themeColor="text1"/>
          <w:sz w:val="22"/>
          <w:szCs w:val="22"/>
        </w:rPr>
        <w:t>wner-</w:t>
      </w:r>
      <w:r w:rsidR="003D2787">
        <w:rPr>
          <w:rFonts w:ascii="Times New Roman" w:hAnsi="Times New Roman" w:cs="Times New Roman"/>
          <w:color w:val="000000" w:themeColor="text1"/>
          <w:sz w:val="22"/>
          <w:szCs w:val="22"/>
        </w:rPr>
        <w:t>o</w:t>
      </w:r>
      <w:r w:rsidR="003D2787" w:rsidRPr="003D2787">
        <w:rPr>
          <w:rFonts w:ascii="Times New Roman" w:hAnsi="Times New Roman" w:cs="Times New Roman"/>
          <w:color w:val="000000" w:themeColor="text1"/>
          <w:sz w:val="22"/>
          <w:szCs w:val="22"/>
        </w:rPr>
        <w:t xml:space="preserve">ccupied </w:t>
      </w:r>
      <w:r w:rsidR="003D2787">
        <w:rPr>
          <w:rFonts w:ascii="Times New Roman" w:hAnsi="Times New Roman" w:cs="Times New Roman"/>
          <w:color w:val="000000" w:themeColor="text1"/>
          <w:sz w:val="22"/>
          <w:szCs w:val="22"/>
        </w:rPr>
        <w:t>n</w:t>
      </w:r>
      <w:r w:rsidR="003D2787" w:rsidRPr="003D2787">
        <w:rPr>
          <w:rFonts w:ascii="Times New Roman" w:hAnsi="Times New Roman" w:cs="Times New Roman"/>
          <w:color w:val="000000" w:themeColor="text1"/>
          <w:sz w:val="22"/>
          <w:szCs w:val="22"/>
        </w:rPr>
        <w:t>on-</w:t>
      </w:r>
      <w:r w:rsidR="003D2787">
        <w:rPr>
          <w:rFonts w:ascii="Times New Roman" w:hAnsi="Times New Roman" w:cs="Times New Roman"/>
          <w:color w:val="000000" w:themeColor="text1"/>
          <w:sz w:val="22"/>
          <w:szCs w:val="22"/>
        </w:rPr>
        <w:t>c</w:t>
      </w:r>
      <w:r w:rsidR="003D2787" w:rsidRPr="003D2787">
        <w:rPr>
          <w:rFonts w:ascii="Times New Roman" w:hAnsi="Times New Roman" w:cs="Times New Roman"/>
          <w:color w:val="000000" w:themeColor="text1"/>
          <w:sz w:val="22"/>
          <w:szCs w:val="22"/>
        </w:rPr>
        <w:t xml:space="preserve">atastrophic </w:t>
      </w:r>
      <w:r w:rsidR="003D2787">
        <w:rPr>
          <w:rFonts w:ascii="Times New Roman" w:hAnsi="Times New Roman" w:cs="Times New Roman"/>
          <w:color w:val="000000" w:themeColor="text1"/>
          <w:sz w:val="22"/>
          <w:szCs w:val="22"/>
        </w:rPr>
        <w:t>s</w:t>
      </w:r>
      <w:r w:rsidR="003D2787" w:rsidRPr="003D2787">
        <w:rPr>
          <w:rFonts w:ascii="Times New Roman" w:hAnsi="Times New Roman" w:cs="Times New Roman"/>
          <w:color w:val="000000" w:themeColor="text1"/>
          <w:sz w:val="22"/>
          <w:szCs w:val="22"/>
        </w:rPr>
        <w:t xml:space="preserve">tructural </w:t>
      </w:r>
      <w:r w:rsidR="003D2787">
        <w:rPr>
          <w:rFonts w:ascii="Times New Roman" w:hAnsi="Times New Roman" w:cs="Times New Roman"/>
          <w:color w:val="000000" w:themeColor="text1"/>
          <w:sz w:val="22"/>
          <w:szCs w:val="22"/>
        </w:rPr>
        <w:t>f</w:t>
      </w:r>
      <w:r w:rsidR="003D2787" w:rsidRPr="003D2787">
        <w:rPr>
          <w:rFonts w:ascii="Times New Roman" w:hAnsi="Times New Roman" w:cs="Times New Roman"/>
          <w:color w:val="000000" w:themeColor="text1"/>
          <w:sz w:val="22"/>
          <w:szCs w:val="22"/>
        </w:rPr>
        <w:t xml:space="preserve">ire </w:t>
      </w:r>
      <w:r w:rsidR="003D2787">
        <w:rPr>
          <w:rFonts w:ascii="Times New Roman" w:hAnsi="Times New Roman" w:cs="Times New Roman"/>
          <w:color w:val="000000" w:themeColor="text1"/>
          <w:sz w:val="22"/>
          <w:szCs w:val="22"/>
        </w:rPr>
        <w:t>d</w:t>
      </w:r>
      <w:r w:rsidR="003D2787" w:rsidRPr="003D2787">
        <w:rPr>
          <w:rFonts w:ascii="Times New Roman" w:hAnsi="Times New Roman" w:cs="Times New Roman"/>
          <w:color w:val="000000" w:themeColor="text1"/>
          <w:sz w:val="22"/>
          <w:szCs w:val="22"/>
        </w:rPr>
        <w:t xml:space="preserve">amage </w:t>
      </w:r>
      <w:r w:rsidR="003D2787">
        <w:rPr>
          <w:rFonts w:ascii="Times New Roman" w:hAnsi="Times New Roman" w:cs="Times New Roman"/>
          <w:color w:val="000000" w:themeColor="text1"/>
          <w:sz w:val="22"/>
          <w:szCs w:val="22"/>
        </w:rPr>
        <w:t>policies and on homeowner’s catastrophic property damage and renter’s/tenant’s policies observe an increase in premiums. Across all the specifications, the highest degrees of changes observed pertain to increases in premiums in zip-codes that had claims made towards o</w:t>
      </w:r>
      <w:r w:rsidR="003D2787" w:rsidRPr="003D2787">
        <w:rPr>
          <w:rFonts w:ascii="Times New Roman" w:hAnsi="Times New Roman" w:cs="Times New Roman"/>
          <w:color w:val="000000" w:themeColor="text1"/>
          <w:sz w:val="22"/>
          <w:szCs w:val="22"/>
        </w:rPr>
        <w:t>wner-</w:t>
      </w:r>
      <w:r w:rsidR="003D2787">
        <w:rPr>
          <w:rFonts w:ascii="Times New Roman" w:hAnsi="Times New Roman" w:cs="Times New Roman"/>
          <w:color w:val="000000" w:themeColor="text1"/>
          <w:sz w:val="22"/>
          <w:szCs w:val="22"/>
        </w:rPr>
        <w:t>o</w:t>
      </w:r>
      <w:r w:rsidR="003D2787" w:rsidRPr="003D2787">
        <w:rPr>
          <w:rFonts w:ascii="Times New Roman" w:hAnsi="Times New Roman" w:cs="Times New Roman"/>
          <w:color w:val="000000" w:themeColor="text1"/>
          <w:sz w:val="22"/>
          <w:szCs w:val="22"/>
        </w:rPr>
        <w:t xml:space="preserve">ccupied </w:t>
      </w:r>
      <w:r w:rsidR="003D2787">
        <w:rPr>
          <w:rFonts w:ascii="Times New Roman" w:hAnsi="Times New Roman" w:cs="Times New Roman"/>
          <w:color w:val="000000" w:themeColor="text1"/>
          <w:sz w:val="22"/>
          <w:szCs w:val="22"/>
        </w:rPr>
        <w:t>n</w:t>
      </w:r>
      <w:r w:rsidR="003D2787" w:rsidRPr="003D2787">
        <w:rPr>
          <w:rFonts w:ascii="Times New Roman" w:hAnsi="Times New Roman" w:cs="Times New Roman"/>
          <w:color w:val="000000" w:themeColor="text1"/>
          <w:sz w:val="22"/>
          <w:szCs w:val="22"/>
        </w:rPr>
        <w:t xml:space="preserve">on-catastrophic </w:t>
      </w:r>
      <w:r w:rsidR="003D2787">
        <w:rPr>
          <w:rFonts w:ascii="Times New Roman" w:hAnsi="Times New Roman" w:cs="Times New Roman"/>
          <w:color w:val="000000" w:themeColor="text1"/>
          <w:sz w:val="22"/>
          <w:szCs w:val="22"/>
        </w:rPr>
        <w:t>s</w:t>
      </w:r>
      <w:r w:rsidR="003D2787" w:rsidRPr="003D2787">
        <w:rPr>
          <w:rFonts w:ascii="Times New Roman" w:hAnsi="Times New Roman" w:cs="Times New Roman"/>
          <w:color w:val="000000" w:themeColor="text1"/>
          <w:sz w:val="22"/>
          <w:szCs w:val="22"/>
        </w:rPr>
        <w:t xml:space="preserve">tructural </w:t>
      </w:r>
      <w:r w:rsidR="003D2787">
        <w:rPr>
          <w:rFonts w:ascii="Times New Roman" w:hAnsi="Times New Roman" w:cs="Times New Roman"/>
          <w:color w:val="000000" w:themeColor="text1"/>
          <w:sz w:val="22"/>
          <w:szCs w:val="22"/>
        </w:rPr>
        <w:t>f</w:t>
      </w:r>
      <w:r w:rsidR="003D2787" w:rsidRPr="003D2787">
        <w:rPr>
          <w:rFonts w:ascii="Times New Roman" w:hAnsi="Times New Roman" w:cs="Times New Roman"/>
          <w:color w:val="000000" w:themeColor="text1"/>
          <w:sz w:val="22"/>
          <w:szCs w:val="22"/>
        </w:rPr>
        <w:t xml:space="preserve">ire </w:t>
      </w:r>
      <w:r w:rsidR="003D2787">
        <w:rPr>
          <w:rFonts w:ascii="Times New Roman" w:hAnsi="Times New Roman" w:cs="Times New Roman"/>
          <w:color w:val="000000" w:themeColor="text1"/>
          <w:sz w:val="22"/>
          <w:szCs w:val="22"/>
        </w:rPr>
        <w:t>d</w:t>
      </w:r>
      <w:r w:rsidR="003D2787" w:rsidRPr="003D2787">
        <w:rPr>
          <w:rFonts w:ascii="Times New Roman" w:hAnsi="Times New Roman" w:cs="Times New Roman"/>
          <w:color w:val="000000" w:themeColor="text1"/>
          <w:sz w:val="22"/>
          <w:szCs w:val="22"/>
        </w:rPr>
        <w:t>amage</w:t>
      </w:r>
      <w:r w:rsidR="003D2787">
        <w:rPr>
          <w:rFonts w:ascii="Times New Roman" w:hAnsi="Times New Roman" w:cs="Times New Roman"/>
          <w:color w:val="000000" w:themeColor="text1"/>
          <w:sz w:val="22"/>
          <w:szCs w:val="22"/>
        </w:rPr>
        <w:t xml:space="preserve">. In the short panel, the highest degrees of premium-increase </w:t>
      </w:r>
      <w:proofErr w:type="gramStart"/>
      <w:r w:rsidR="003D2787">
        <w:rPr>
          <w:rFonts w:ascii="Times New Roman" w:hAnsi="Times New Roman" w:cs="Times New Roman"/>
          <w:color w:val="000000" w:themeColor="text1"/>
          <w:sz w:val="22"/>
          <w:szCs w:val="22"/>
        </w:rPr>
        <w:t>is</w:t>
      </w:r>
      <w:proofErr w:type="gramEnd"/>
      <w:r w:rsidR="003D2787">
        <w:rPr>
          <w:rFonts w:ascii="Times New Roman" w:hAnsi="Times New Roman" w:cs="Times New Roman"/>
          <w:color w:val="000000" w:themeColor="text1"/>
          <w:sz w:val="22"/>
          <w:szCs w:val="22"/>
        </w:rPr>
        <w:t xml:space="preserve"> observed in zip codes that encountered o</w:t>
      </w:r>
      <w:r w:rsidR="003D2787" w:rsidRPr="003D2787">
        <w:rPr>
          <w:rFonts w:ascii="Times New Roman" w:hAnsi="Times New Roman" w:cs="Times New Roman"/>
          <w:color w:val="000000" w:themeColor="text1"/>
          <w:sz w:val="22"/>
          <w:szCs w:val="22"/>
        </w:rPr>
        <w:t>wner-</w:t>
      </w:r>
      <w:r w:rsidR="003D2787">
        <w:rPr>
          <w:rFonts w:ascii="Times New Roman" w:hAnsi="Times New Roman" w:cs="Times New Roman"/>
          <w:color w:val="000000" w:themeColor="text1"/>
          <w:sz w:val="22"/>
          <w:szCs w:val="22"/>
        </w:rPr>
        <w:t>o</w:t>
      </w:r>
      <w:r w:rsidR="003D2787" w:rsidRPr="003D2787">
        <w:rPr>
          <w:rFonts w:ascii="Times New Roman" w:hAnsi="Times New Roman" w:cs="Times New Roman"/>
          <w:color w:val="000000" w:themeColor="text1"/>
          <w:sz w:val="22"/>
          <w:szCs w:val="22"/>
        </w:rPr>
        <w:t xml:space="preserve">ccupied </w:t>
      </w:r>
      <w:r w:rsidR="003D2787">
        <w:rPr>
          <w:rFonts w:ascii="Times New Roman" w:hAnsi="Times New Roman" w:cs="Times New Roman"/>
          <w:color w:val="000000" w:themeColor="text1"/>
          <w:sz w:val="22"/>
          <w:szCs w:val="22"/>
        </w:rPr>
        <w:t>n</w:t>
      </w:r>
      <w:r w:rsidR="003D2787" w:rsidRPr="003D2787">
        <w:rPr>
          <w:rFonts w:ascii="Times New Roman" w:hAnsi="Times New Roman" w:cs="Times New Roman"/>
          <w:color w:val="000000" w:themeColor="text1"/>
          <w:sz w:val="22"/>
          <w:szCs w:val="22"/>
        </w:rPr>
        <w:t>on-</w:t>
      </w:r>
      <w:r w:rsidR="003D2787">
        <w:rPr>
          <w:rFonts w:ascii="Times New Roman" w:hAnsi="Times New Roman" w:cs="Times New Roman"/>
          <w:color w:val="000000" w:themeColor="text1"/>
          <w:sz w:val="22"/>
          <w:szCs w:val="22"/>
        </w:rPr>
        <w:t>c</w:t>
      </w:r>
      <w:r w:rsidR="003D2787" w:rsidRPr="003D2787">
        <w:rPr>
          <w:rFonts w:ascii="Times New Roman" w:hAnsi="Times New Roman" w:cs="Times New Roman"/>
          <w:color w:val="000000" w:themeColor="text1"/>
          <w:sz w:val="22"/>
          <w:szCs w:val="22"/>
        </w:rPr>
        <w:t xml:space="preserve">atastrophic </w:t>
      </w:r>
      <w:r w:rsidR="003D2787">
        <w:rPr>
          <w:rFonts w:ascii="Times New Roman" w:hAnsi="Times New Roman" w:cs="Times New Roman"/>
          <w:color w:val="000000" w:themeColor="text1"/>
          <w:sz w:val="22"/>
          <w:szCs w:val="22"/>
        </w:rPr>
        <w:t>p</w:t>
      </w:r>
      <w:r w:rsidR="003D2787" w:rsidRPr="003D2787">
        <w:rPr>
          <w:rFonts w:ascii="Times New Roman" w:hAnsi="Times New Roman" w:cs="Times New Roman"/>
          <w:color w:val="000000" w:themeColor="text1"/>
          <w:sz w:val="22"/>
          <w:szCs w:val="22"/>
        </w:rPr>
        <w:t xml:space="preserve">roperty </w:t>
      </w:r>
      <w:r w:rsidR="003D2787">
        <w:rPr>
          <w:rFonts w:ascii="Times New Roman" w:hAnsi="Times New Roman" w:cs="Times New Roman"/>
          <w:color w:val="000000" w:themeColor="text1"/>
          <w:sz w:val="22"/>
          <w:szCs w:val="22"/>
        </w:rPr>
        <w:t>f</w:t>
      </w:r>
      <w:r w:rsidR="003D2787" w:rsidRPr="003D2787">
        <w:rPr>
          <w:rFonts w:ascii="Times New Roman" w:hAnsi="Times New Roman" w:cs="Times New Roman"/>
          <w:color w:val="000000" w:themeColor="text1"/>
          <w:sz w:val="22"/>
          <w:szCs w:val="22"/>
        </w:rPr>
        <w:t xml:space="preserve">ire </w:t>
      </w:r>
      <w:r w:rsidR="003D2787">
        <w:rPr>
          <w:rFonts w:ascii="Times New Roman" w:hAnsi="Times New Roman" w:cs="Times New Roman"/>
          <w:color w:val="000000" w:themeColor="text1"/>
          <w:sz w:val="22"/>
          <w:szCs w:val="22"/>
        </w:rPr>
        <w:t>d</w:t>
      </w:r>
      <w:r w:rsidR="003D2787" w:rsidRPr="003D2787">
        <w:rPr>
          <w:rFonts w:ascii="Times New Roman" w:hAnsi="Times New Roman" w:cs="Times New Roman"/>
          <w:color w:val="000000" w:themeColor="text1"/>
          <w:sz w:val="22"/>
          <w:szCs w:val="22"/>
        </w:rPr>
        <w:t>amage</w:t>
      </w:r>
      <w:r w:rsidR="003D2787">
        <w:rPr>
          <w:rFonts w:ascii="Times New Roman" w:hAnsi="Times New Roman" w:cs="Times New Roman"/>
          <w:color w:val="000000" w:themeColor="text1"/>
          <w:sz w:val="22"/>
          <w:szCs w:val="22"/>
        </w:rPr>
        <w:t xml:space="preserve"> (37%). In the longer panel, the highest degrees of premium-increase </w:t>
      </w:r>
      <w:proofErr w:type="gramStart"/>
      <w:r w:rsidR="003D2787">
        <w:rPr>
          <w:rFonts w:ascii="Times New Roman" w:hAnsi="Times New Roman" w:cs="Times New Roman"/>
          <w:color w:val="000000" w:themeColor="text1"/>
          <w:sz w:val="22"/>
          <w:szCs w:val="22"/>
        </w:rPr>
        <w:t>is</w:t>
      </w:r>
      <w:proofErr w:type="gramEnd"/>
      <w:r w:rsidR="003D2787">
        <w:rPr>
          <w:rFonts w:ascii="Times New Roman" w:hAnsi="Times New Roman" w:cs="Times New Roman"/>
          <w:color w:val="000000" w:themeColor="text1"/>
          <w:sz w:val="22"/>
          <w:szCs w:val="22"/>
        </w:rPr>
        <w:t xml:space="preserve"> observed in zip codes that encountered o</w:t>
      </w:r>
      <w:r w:rsidR="003D2787" w:rsidRPr="003D2787">
        <w:rPr>
          <w:rFonts w:ascii="Times New Roman" w:hAnsi="Times New Roman" w:cs="Times New Roman"/>
          <w:color w:val="000000" w:themeColor="text1"/>
          <w:sz w:val="22"/>
          <w:szCs w:val="22"/>
        </w:rPr>
        <w:t>wner-</w:t>
      </w:r>
      <w:r w:rsidR="003D2787">
        <w:rPr>
          <w:rFonts w:ascii="Times New Roman" w:hAnsi="Times New Roman" w:cs="Times New Roman"/>
          <w:color w:val="000000" w:themeColor="text1"/>
          <w:sz w:val="22"/>
          <w:szCs w:val="22"/>
        </w:rPr>
        <w:t>o</w:t>
      </w:r>
      <w:r w:rsidR="003D2787" w:rsidRPr="003D2787">
        <w:rPr>
          <w:rFonts w:ascii="Times New Roman" w:hAnsi="Times New Roman" w:cs="Times New Roman"/>
          <w:color w:val="000000" w:themeColor="text1"/>
          <w:sz w:val="22"/>
          <w:szCs w:val="22"/>
        </w:rPr>
        <w:t xml:space="preserve">ccupied </w:t>
      </w:r>
      <w:r w:rsidR="003D2787">
        <w:rPr>
          <w:rFonts w:ascii="Times New Roman" w:hAnsi="Times New Roman" w:cs="Times New Roman"/>
          <w:color w:val="000000" w:themeColor="text1"/>
          <w:sz w:val="22"/>
          <w:szCs w:val="22"/>
        </w:rPr>
        <w:t>n</w:t>
      </w:r>
      <w:r w:rsidR="003D2787" w:rsidRPr="003D2787">
        <w:rPr>
          <w:rFonts w:ascii="Times New Roman" w:hAnsi="Times New Roman" w:cs="Times New Roman"/>
          <w:color w:val="000000" w:themeColor="text1"/>
          <w:sz w:val="22"/>
          <w:szCs w:val="22"/>
        </w:rPr>
        <w:t>on-</w:t>
      </w:r>
      <w:r w:rsidR="003D2787">
        <w:rPr>
          <w:rFonts w:ascii="Times New Roman" w:hAnsi="Times New Roman" w:cs="Times New Roman"/>
          <w:color w:val="000000" w:themeColor="text1"/>
          <w:sz w:val="22"/>
          <w:szCs w:val="22"/>
        </w:rPr>
        <w:t>c</w:t>
      </w:r>
      <w:r w:rsidR="003D2787" w:rsidRPr="003D2787">
        <w:rPr>
          <w:rFonts w:ascii="Times New Roman" w:hAnsi="Times New Roman" w:cs="Times New Roman"/>
          <w:color w:val="000000" w:themeColor="text1"/>
          <w:sz w:val="22"/>
          <w:szCs w:val="22"/>
        </w:rPr>
        <w:t xml:space="preserve">atastrophic </w:t>
      </w:r>
      <w:r w:rsidR="003D2787">
        <w:rPr>
          <w:rFonts w:ascii="Times New Roman" w:hAnsi="Times New Roman" w:cs="Times New Roman"/>
          <w:color w:val="000000" w:themeColor="text1"/>
          <w:sz w:val="22"/>
          <w:szCs w:val="22"/>
        </w:rPr>
        <w:t>structural</w:t>
      </w:r>
      <w:r w:rsidR="003D2787" w:rsidRPr="003D2787">
        <w:rPr>
          <w:rFonts w:ascii="Times New Roman" w:hAnsi="Times New Roman" w:cs="Times New Roman"/>
          <w:color w:val="000000" w:themeColor="text1"/>
          <w:sz w:val="22"/>
          <w:szCs w:val="22"/>
        </w:rPr>
        <w:t xml:space="preserve"> </w:t>
      </w:r>
      <w:r w:rsidR="003D2787">
        <w:rPr>
          <w:rFonts w:ascii="Times New Roman" w:hAnsi="Times New Roman" w:cs="Times New Roman"/>
          <w:color w:val="000000" w:themeColor="text1"/>
          <w:sz w:val="22"/>
          <w:szCs w:val="22"/>
        </w:rPr>
        <w:t>f</w:t>
      </w:r>
      <w:r w:rsidR="003D2787" w:rsidRPr="003D2787">
        <w:rPr>
          <w:rFonts w:ascii="Times New Roman" w:hAnsi="Times New Roman" w:cs="Times New Roman"/>
          <w:color w:val="000000" w:themeColor="text1"/>
          <w:sz w:val="22"/>
          <w:szCs w:val="22"/>
        </w:rPr>
        <w:t xml:space="preserve">ire </w:t>
      </w:r>
      <w:r w:rsidR="003D2787">
        <w:rPr>
          <w:rFonts w:ascii="Times New Roman" w:hAnsi="Times New Roman" w:cs="Times New Roman"/>
          <w:color w:val="000000" w:themeColor="text1"/>
          <w:sz w:val="22"/>
          <w:szCs w:val="22"/>
        </w:rPr>
        <w:t>d</w:t>
      </w:r>
      <w:r w:rsidR="003D2787" w:rsidRPr="003D2787">
        <w:rPr>
          <w:rFonts w:ascii="Times New Roman" w:hAnsi="Times New Roman" w:cs="Times New Roman"/>
          <w:color w:val="000000" w:themeColor="text1"/>
          <w:sz w:val="22"/>
          <w:szCs w:val="22"/>
        </w:rPr>
        <w:t>amage</w:t>
      </w:r>
      <w:r w:rsidR="003D2787">
        <w:rPr>
          <w:rFonts w:ascii="Times New Roman" w:hAnsi="Times New Roman" w:cs="Times New Roman"/>
          <w:color w:val="000000" w:themeColor="text1"/>
          <w:sz w:val="22"/>
          <w:szCs w:val="22"/>
        </w:rPr>
        <w:t xml:space="preserve"> (103%).</w:t>
      </w:r>
    </w:p>
    <w:p w14:paraId="59413343" w14:textId="77777777" w:rsidR="003F307D" w:rsidRDefault="003F307D" w:rsidP="0048605B">
      <w:pPr>
        <w:rPr>
          <w:rFonts w:ascii="Times New Roman" w:hAnsi="Times New Roman" w:cs="Times New Roman"/>
          <w:color w:val="000000" w:themeColor="text1"/>
          <w:sz w:val="22"/>
          <w:szCs w:val="22"/>
        </w:rPr>
      </w:pPr>
    </w:p>
    <w:p w14:paraId="2209DEAC" w14:textId="77777777" w:rsidR="004E2408" w:rsidRDefault="004E2408" w:rsidP="0048605B">
      <w:pPr>
        <w:rPr>
          <w:rFonts w:ascii="Times New Roman" w:hAnsi="Times New Roman" w:cs="Times New Roman"/>
          <w:sz w:val="18"/>
          <w:szCs w:val="18"/>
        </w:rPr>
      </w:pPr>
    </w:p>
    <w:p w14:paraId="7E974A3F" w14:textId="05684C1D" w:rsidR="0048605B" w:rsidRPr="00F13B95" w:rsidRDefault="00F13B95" w:rsidP="00F13B95">
      <w:pPr>
        <w:jc w:val="center"/>
        <w:rPr>
          <w:rFonts w:ascii="Times New Roman" w:hAnsi="Times New Roman" w:cs="Times New Roman"/>
          <w:color w:val="000000" w:themeColor="text1"/>
        </w:rPr>
      </w:pPr>
      <w:r w:rsidRPr="00F13B95">
        <w:rPr>
          <w:rFonts w:ascii="Times New Roman" w:hAnsi="Times New Roman" w:cs="Times New Roman"/>
          <w:sz w:val="21"/>
          <w:szCs w:val="21"/>
        </w:rPr>
        <w:t>Table 5:</w:t>
      </w:r>
      <w:r w:rsidRPr="00F13B95">
        <w:rPr>
          <w:rFonts w:ascii="Times New Roman" w:hAnsi="Times New Roman" w:cs="Times New Roman"/>
          <w:color w:val="000000" w:themeColor="text1"/>
          <w:sz w:val="21"/>
          <w:szCs w:val="21"/>
        </w:rPr>
        <w:t xml:space="preserve"> Actual valuation of significant Regression results of change in earned </w:t>
      </w:r>
      <w:r w:rsidR="004E2408" w:rsidRPr="00F13B95">
        <w:rPr>
          <w:rFonts w:ascii="Times New Roman" w:hAnsi="Times New Roman" w:cs="Times New Roman"/>
          <w:color w:val="000000" w:themeColor="text1"/>
          <w:sz w:val="21"/>
          <w:szCs w:val="21"/>
        </w:rPr>
        <w:t>premiums.</w:t>
      </w:r>
    </w:p>
    <w:p w14:paraId="21D3392D" w14:textId="77777777" w:rsidR="00F13B95" w:rsidRDefault="00F13B95" w:rsidP="0048605B">
      <w:pPr>
        <w:rPr>
          <w:rFonts w:ascii="Times New Roman" w:hAnsi="Times New Roman" w:cs="Times New Roman"/>
          <w:sz w:val="21"/>
          <w:szCs w:val="21"/>
        </w:rPr>
      </w:pPr>
    </w:p>
    <w:tbl>
      <w:tblPr>
        <w:tblStyle w:val="TableGrid"/>
        <w:tblW w:w="10165" w:type="dxa"/>
        <w:tblLook w:val="04A0" w:firstRow="1" w:lastRow="0" w:firstColumn="1" w:lastColumn="0" w:noHBand="0" w:noVBand="1"/>
      </w:tblPr>
      <w:tblGrid>
        <w:gridCol w:w="4045"/>
        <w:gridCol w:w="1440"/>
        <w:gridCol w:w="1440"/>
        <w:gridCol w:w="1620"/>
        <w:gridCol w:w="1620"/>
      </w:tblGrid>
      <w:tr w:rsidR="009A2DDB" w:rsidRPr="0048605B" w14:paraId="65725C68" w14:textId="77777777" w:rsidTr="00F13B95">
        <w:trPr>
          <w:trHeight w:val="296"/>
        </w:trPr>
        <w:tc>
          <w:tcPr>
            <w:tcW w:w="4045" w:type="dxa"/>
            <w:vMerge w:val="restart"/>
            <w:tcBorders>
              <w:bottom w:val="nil"/>
              <w:right w:val="nil"/>
            </w:tcBorders>
            <w:vAlign w:val="center"/>
          </w:tcPr>
          <w:p w14:paraId="5FFEE4D5" w14:textId="77777777" w:rsidR="009A2DDB" w:rsidRPr="0048605B" w:rsidRDefault="009A2DDB" w:rsidP="0067122B">
            <w:pPr>
              <w:jc w:val="center"/>
              <w:rPr>
                <w:rFonts w:ascii="Times New Roman" w:hAnsi="Times New Roman" w:cs="Times New Roman"/>
                <w:color w:val="000000" w:themeColor="text1"/>
                <w:sz w:val="22"/>
                <w:szCs w:val="22"/>
              </w:rPr>
            </w:pPr>
          </w:p>
        </w:tc>
        <w:tc>
          <w:tcPr>
            <w:tcW w:w="2880" w:type="dxa"/>
            <w:gridSpan w:val="2"/>
            <w:tcBorders>
              <w:left w:val="nil"/>
              <w:bottom w:val="nil"/>
              <w:right w:val="nil"/>
            </w:tcBorders>
            <w:vAlign w:val="center"/>
          </w:tcPr>
          <w:p w14:paraId="509D98C5" w14:textId="77777777" w:rsidR="009A2DDB" w:rsidRPr="0048605B" w:rsidRDefault="009A2DD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Short Panel</w:t>
            </w:r>
          </w:p>
          <w:p w14:paraId="48FA8BCB" w14:textId="77777777" w:rsidR="009A2DDB" w:rsidRPr="0048605B" w:rsidRDefault="009A2DD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(2018-2020)</w:t>
            </w:r>
          </w:p>
          <w:p w14:paraId="4ED1B67F" w14:textId="77777777" w:rsidR="009A2DDB" w:rsidRPr="0048605B" w:rsidRDefault="009A2DDB" w:rsidP="00A55035">
            <w:pPr>
              <w:jc w:val="center"/>
              <w:rPr>
                <w:rFonts w:ascii="Times New Roman" w:hAnsi="Times New Roman" w:cs="Times New Roman"/>
                <w:color w:val="000000" w:themeColor="text1"/>
                <w:sz w:val="22"/>
                <w:szCs w:val="22"/>
              </w:rPr>
            </w:pPr>
          </w:p>
        </w:tc>
        <w:tc>
          <w:tcPr>
            <w:tcW w:w="3240" w:type="dxa"/>
            <w:gridSpan w:val="2"/>
            <w:tcBorders>
              <w:left w:val="nil"/>
              <w:bottom w:val="nil"/>
            </w:tcBorders>
          </w:tcPr>
          <w:p w14:paraId="5E53187A" w14:textId="77777777" w:rsidR="009A2DDB" w:rsidRPr="0048605B" w:rsidRDefault="009A2DD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Long Panel</w:t>
            </w:r>
          </w:p>
          <w:p w14:paraId="34DEE134" w14:textId="77777777" w:rsidR="009A2DDB" w:rsidRPr="0048605B" w:rsidRDefault="009A2DD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(2018-2021)</w:t>
            </w:r>
          </w:p>
        </w:tc>
      </w:tr>
      <w:tr w:rsidR="00F13B95" w:rsidRPr="0048605B" w14:paraId="1912A26F" w14:textId="77777777" w:rsidTr="00F13B95">
        <w:tc>
          <w:tcPr>
            <w:tcW w:w="4045" w:type="dxa"/>
            <w:vMerge/>
            <w:tcBorders>
              <w:bottom w:val="nil"/>
              <w:right w:val="nil"/>
            </w:tcBorders>
            <w:vAlign w:val="center"/>
          </w:tcPr>
          <w:p w14:paraId="6F4FFDC9" w14:textId="77777777" w:rsidR="009A2DDB" w:rsidRPr="0048605B" w:rsidRDefault="009A2DDB" w:rsidP="00A55035">
            <w:pPr>
              <w:jc w:val="center"/>
              <w:rPr>
                <w:rFonts w:ascii="Times New Roman" w:hAnsi="Times New Roman" w:cs="Times New Roman"/>
                <w:color w:val="000000" w:themeColor="text1"/>
                <w:sz w:val="22"/>
                <w:szCs w:val="22"/>
              </w:rPr>
            </w:pPr>
          </w:p>
        </w:tc>
        <w:tc>
          <w:tcPr>
            <w:tcW w:w="1440" w:type="dxa"/>
            <w:tcBorders>
              <w:top w:val="nil"/>
              <w:left w:val="nil"/>
              <w:bottom w:val="nil"/>
              <w:right w:val="nil"/>
            </w:tcBorders>
            <w:vAlign w:val="center"/>
          </w:tcPr>
          <w:p w14:paraId="6AC7F975" w14:textId="77777777" w:rsidR="009A2DDB" w:rsidRPr="0048605B" w:rsidRDefault="009A2DD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(1)</w:t>
            </w:r>
          </w:p>
        </w:tc>
        <w:tc>
          <w:tcPr>
            <w:tcW w:w="1440" w:type="dxa"/>
            <w:tcBorders>
              <w:top w:val="nil"/>
              <w:left w:val="nil"/>
              <w:bottom w:val="nil"/>
              <w:right w:val="nil"/>
            </w:tcBorders>
            <w:vAlign w:val="center"/>
          </w:tcPr>
          <w:p w14:paraId="14B9FDDC" w14:textId="77777777" w:rsidR="009A2DDB" w:rsidRPr="0048605B" w:rsidRDefault="009A2DD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(2)</w:t>
            </w:r>
          </w:p>
        </w:tc>
        <w:tc>
          <w:tcPr>
            <w:tcW w:w="1620" w:type="dxa"/>
            <w:tcBorders>
              <w:top w:val="nil"/>
              <w:left w:val="nil"/>
              <w:bottom w:val="nil"/>
              <w:right w:val="nil"/>
            </w:tcBorders>
            <w:vAlign w:val="center"/>
          </w:tcPr>
          <w:p w14:paraId="3E4C9A3E" w14:textId="77777777" w:rsidR="009A2DDB" w:rsidRPr="0048605B" w:rsidRDefault="009A2DD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(3)</w:t>
            </w:r>
          </w:p>
        </w:tc>
        <w:tc>
          <w:tcPr>
            <w:tcW w:w="1620" w:type="dxa"/>
            <w:tcBorders>
              <w:top w:val="nil"/>
              <w:left w:val="nil"/>
              <w:bottom w:val="nil"/>
            </w:tcBorders>
            <w:vAlign w:val="center"/>
          </w:tcPr>
          <w:p w14:paraId="1BC614A4" w14:textId="77777777" w:rsidR="009A2DDB" w:rsidRPr="0048605B" w:rsidRDefault="009A2DDB" w:rsidP="00A55035">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(4)</w:t>
            </w:r>
          </w:p>
        </w:tc>
      </w:tr>
      <w:tr w:rsidR="0067122B" w:rsidRPr="0048605B" w14:paraId="4664D472" w14:textId="77777777" w:rsidTr="00290F31">
        <w:tc>
          <w:tcPr>
            <w:tcW w:w="4045" w:type="dxa"/>
            <w:tcBorders>
              <w:top w:val="nil"/>
              <w:bottom w:val="single" w:sz="4" w:space="0" w:color="auto"/>
              <w:right w:val="nil"/>
            </w:tcBorders>
          </w:tcPr>
          <w:p w14:paraId="3A70B78F" w14:textId="7C5A201E" w:rsidR="0067122B" w:rsidRPr="0048605B" w:rsidRDefault="0067122B" w:rsidP="0067122B">
            <w:pPr>
              <w:rPr>
                <w:rFonts w:ascii="Times New Roman" w:hAnsi="Times New Roman" w:cs="Times New Roman"/>
                <w:color w:val="000000" w:themeColor="text1"/>
                <w:sz w:val="20"/>
                <w:szCs w:val="20"/>
              </w:rPr>
            </w:pPr>
            <w:r w:rsidRPr="0048605B">
              <w:rPr>
                <w:rFonts w:ascii="Times New Roman" w:hAnsi="Times New Roman" w:cs="Times New Roman"/>
                <w:i/>
                <w:iCs/>
                <w:color w:val="000000" w:themeColor="text1"/>
                <w:sz w:val="22"/>
                <w:szCs w:val="22"/>
              </w:rPr>
              <w:t>Fixed Effects Inclusion</w:t>
            </w:r>
          </w:p>
        </w:tc>
        <w:tc>
          <w:tcPr>
            <w:tcW w:w="1440" w:type="dxa"/>
            <w:tcBorders>
              <w:top w:val="nil"/>
              <w:left w:val="nil"/>
              <w:bottom w:val="single" w:sz="4" w:space="0" w:color="auto"/>
              <w:right w:val="nil"/>
            </w:tcBorders>
          </w:tcPr>
          <w:p w14:paraId="113EC1BE" w14:textId="77777777" w:rsidR="0067122B" w:rsidRDefault="0067122B" w:rsidP="0067122B">
            <w:pPr>
              <w:jc w:val="center"/>
              <w:rPr>
                <w:rFonts w:ascii="Times New Roman" w:hAnsi="Times New Roman" w:cs="Times New Roman"/>
                <w:color w:val="000000" w:themeColor="text1"/>
                <w:sz w:val="20"/>
                <w:szCs w:val="20"/>
              </w:rPr>
            </w:pPr>
          </w:p>
        </w:tc>
        <w:tc>
          <w:tcPr>
            <w:tcW w:w="1440" w:type="dxa"/>
            <w:tcBorders>
              <w:top w:val="nil"/>
              <w:left w:val="nil"/>
              <w:bottom w:val="single" w:sz="4" w:space="0" w:color="auto"/>
              <w:right w:val="nil"/>
            </w:tcBorders>
          </w:tcPr>
          <w:p w14:paraId="2F9B52DE" w14:textId="77777777" w:rsidR="0067122B" w:rsidRDefault="0067122B" w:rsidP="0067122B">
            <w:pPr>
              <w:jc w:val="center"/>
              <w:rPr>
                <w:rFonts w:ascii="Times New Roman" w:hAnsi="Times New Roman" w:cs="Times New Roman"/>
                <w:color w:val="000000" w:themeColor="text1"/>
                <w:sz w:val="20"/>
                <w:szCs w:val="20"/>
              </w:rPr>
            </w:pPr>
          </w:p>
        </w:tc>
        <w:tc>
          <w:tcPr>
            <w:tcW w:w="1620" w:type="dxa"/>
            <w:tcBorders>
              <w:top w:val="nil"/>
              <w:left w:val="nil"/>
              <w:bottom w:val="single" w:sz="4" w:space="0" w:color="auto"/>
              <w:right w:val="nil"/>
            </w:tcBorders>
          </w:tcPr>
          <w:p w14:paraId="74C6D501" w14:textId="77777777" w:rsidR="0067122B" w:rsidRDefault="0067122B" w:rsidP="0067122B">
            <w:pPr>
              <w:jc w:val="center"/>
              <w:rPr>
                <w:rFonts w:ascii="Times New Roman" w:hAnsi="Times New Roman" w:cs="Times New Roman"/>
                <w:color w:val="000000" w:themeColor="text1"/>
                <w:sz w:val="20"/>
                <w:szCs w:val="20"/>
              </w:rPr>
            </w:pPr>
          </w:p>
        </w:tc>
        <w:tc>
          <w:tcPr>
            <w:tcW w:w="1620" w:type="dxa"/>
            <w:tcBorders>
              <w:top w:val="nil"/>
              <w:left w:val="nil"/>
              <w:bottom w:val="single" w:sz="4" w:space="0" w:color="auto"/>
            </w:tcBorders>
          </w:tcPr>
          <w:p w14:paraId="0AE676B6" w14:textId="77777777" w:rsidR="0067122B" w:rsidRDefault="0067122B" w:rsidP="0067122B">
            <w:pPr>
              <w:jc w:val="center"/>
              <w:rPr>
                <w:rFonts w:ascii="Times New Roman" w:hAnsi="Times New Roman" w:cs="Times New Roman"/>
                <w:color w:val="000000" w:themeColor="text1"/>
                <w:sz w:val="20"/>
                <w:szCs w:val="20"/>
              </w:rPr>
            </w:pPr>
          </w:p>
        </w:tc>
      </w:tr>
      <w:tr w:rsidR="0067122B" w:rsidRPr="0048605B" w14:paraId="5C467265" w14:textId="77777777" w:rsidTr="00290F31">
        <w:tc>
          <w:tcPr>
            <w:tcW w:w="4045" w:type="dxa"/>
            <w:tcBorders>
              <w:top w:val="nil"/>
              <w:bottom w:val="single" w:sz="4" w:space="0" w:color="auto"/>
              <w:right w:val="nil"/>
            </w:tcBorders>
          </w:tcPr>
          <w:p w14:paraId="6601BFEB" w14:textId="174407A0" w:rsidR="0067122B" w:rsidRPr="0048605B" w:rsidRDefault="0067122B" w:rsidP="0067122B">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Year Fixed Effects</w:t>
            </w:r>
          </w:p>
        </w:tc>
        <w:tc>
          <w:tcPr>
            <w:tcW w:w="1440" w:type="dxa"/>
            <w:tcBorders>
              <w:top w:val="nil"/>
              <w:left w:val="nil"/>
              <w:bottom w:val="single" w:sz="4" w:space="0" w:color="auto"/>
              <w:right w:val="nil"/>
            </w:tcBorders>
          </w:tcPr>
          <w:p w14:paraId="6C2C7F86" w14:textId="2353F41B"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Yes</w:t>
            </w:r>
          </w:p>
        </w:tc>
        <w:tc>
          <w:tcPr>
            <w:tcW w:w="1440" w:type="dxa"/>
            <w:tcBorders>
              <w:top w:val="nil"/>
              <w:left w:val="nil"/>
              <w:bottom w:val="single" w:sz="4" w:space="0" w:color="auto"/>
              <w:right w:val="nil"/>
            </w:tcBorders>
          </w:tcPr>
          <w:p w14:paraId="022519C4" w14:textId="337E37B2"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Yes</w:t>
            </w:r>
          </w:p>
        </w:tc>
        <w:tc>
          <w:tcPr>
            <w:tcW w:w="1620" w:type="dxa"/>
            <w:tcBorders>
              <w:top w:val="nil"/>
              <w:left w:val="nil"/>
              <w:bottom w:val="single" w:sz="4" w:space="0" w:color="auto"/>
              <w:right w:val="nil"/>
            </w:tcBorders>
          </w:tcPr>
          <w:p w14:paraId="645A1ED6" w14:textId="7D08588A"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Yes</w:t>
            </w:r>
          </w:p>
        </w:tc>
        <w:tc>
          <w:tcPr>
            <w:tcW w:w="1620" w:type="dxa"/>
            <w:tcBorders>
              <w:top w:val="nil"/>
              <w:left w:val="nil"/>
              <w:bottom w:val="single" w:sz="4" w:space="0" w:color="auto"/>
            </w:tcBorders>
          </w:tcPr>
          <w:p w14:paraId="705DDF25" w14:textId="71DD2C5A"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Yes</w:t>
            </w:r>
          </w:p>
        </w:tc>
      </w:tr>
      <w:tr w:rsidR="0067122B" w:rsidRPr="0048605B" w14:paraId="672923EE" w14:textId="77777777" w:rsidTr="00290F31">
        <w:tc>
          <w:tcPr>
            <w:tcW w:w="4045" w:type="dxa"/>
            <w:tcBorders>
              <w:bottom w:val="single" w:sz="4" w:space="0" w:color="auto"/>
              <w:right w:val="nil"/>
            </w:tcBorders>
          </w:tcPr>
          <w:p w14:paraId="159F725F" w14:textId="655FCC7A" w:rsidR="0067122B" w:rsidRPr="0048605B" w:rsidRDefault="0067122B" w:rsidP="0067122B">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Primary City Fixed Effects</w:t>
            </w:r>
          </w:p>
        </w:tc>
        <w:tc>
          <w:tcPr>
            <w:tcW w:w="1440" w:type="dxa"/>
            <w:tcBorders>
              <w:top w:val="single" w:sz="4" w:space="0" w:color="auto"/>
              <w:left w:val="nil"/>
              <w:bottom w:val="single" w:sz="4" w:space="0" w:color="auto"/>
              <w:right w:val="nil"/>
            </w:tcBorders>
          </w:tcPr>
          <w:p w14:paraId="20F36CA6" w14:textId="1C2D0674"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Yes</w:t>
            </w:r>
          </w:p>
        </w:tc>
        <w:tc>
          <w:tcPr>
            <w:tcW w:w="1440" w:type="dxa"/>
            <w:tcBorders>
              <w:top w:val="single" w:sz="4" w:space="0" w:color="auto"/>
              <w:left w:val="nil"/>
              <w:bottom w:val="single" w:sz="4" w:space="0" w:color="auto"/>
              <w:right w:val="nil"/>
            </w:tcBorders>
          </w:tcPr>
          <w:p w14:paraId="359BD061" w14:textId="46870D13"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No</w:t>
            </w:r>
          </w:p>
        </w:tc>
        <w:tc>
          <w:tcPr>
            <w:tcW w:w="1620" w:type="dxa"/>
            <w:tcBorders>
              <w:top w:val="single" w:sz="4" w:space="0" w:color="auto"/>
              <w:left w:val="nil"/>
              <w:bottom w:val="single" w:sz="4" w:space="0" w:color="auto"/>
              <w:right w:val="nil"/>
            </w:tcBorders>
          </w:tcPr>
          <w:p w14:paraId="55FCA808" w14:textId="0B8C4DF7"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Yes</w:t>
            </w:r>
          </w:p>
        </w:tc>
        <w:tc>
          <w:tcPr>
            <w:tcW w:w="1620" w:type="dxa"/>
            <w:tcBorders>
              <w:top w:val="single" w:sz="4" w:space="0" w:color="auto"/>
              <w:left w:val="nil"/>
              <w:bottom w:val="single" w:sz="4" w:space="0" w:color="auto"/>
              <w:right w:val="single" w:sz="4" w:space="0" w:color="auto"/>
            </w:tcBorders>
          </w:tcPr>
          <w:p w14:paraId="58C70C21" w14:textId="79606F9E"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No</w:t>
            </w:r>
          </w:p>
        </w:tc>
      </w:tr>
      <w:tr w:rsidR="0067122B" w:rsidRPr="0048605B" w14:paraId="226BBDCC" w14:textId="77777777" w:rsidTr="0067122B">
        <w:tc>
          <w:tcPr>
            <w:tcW w:w="4045" w:type="dxa"/>
            <w:tcBorders>
              <w:bottom w:val="single" w:sz="4" w:space="0" w:color="auto"/>
              <w:right w:val="nil"/>
            </w:tcBorders>
          </w:tcPr>
          <w:p w14:paraId="3054486A" w14:textId="36DD9BFE" w:rsidR="0067122B" w:rsidRPr="0048605B" w:rsidRDefault="0067122B" w:rsidP="0067122B">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Zip-code Fixed Effects</w:t>
            </w:r>
          </w:p>
        </w:tc>
        <w:tc>
          <w:tcPr>
            <w:tcW w:w="1440" w:type="dxa"/>
            <w:tcBorders>
              <w:left w:val="nil"/>
              <w:bottom w:val="single" w:sz="4" w:space="0" w:color="auto"/>
              <w:right w:val="nil"/>
            </w:tcBorders>
          </w:tcPr>
          <w:p w14:paraId="2C6AD404" w14:textId="5D445B87"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No</w:t>
            </w:r>
          </w:p>
        </w:tc>
        <w:tc>
          <w:tcPr>
            <w:tcW w:w="1440" w:type="dxa"/>
            <w:tcBorders>
              <w:left w:val="nil"/>
              <w:bottom w:val="single" w:sz="4" w:space="0" w:color="auto"/>
              <w:right w:val="nil"/>
            </w:tcBorders>
          </w:tcPr>
          <w:p w14:paraId="53C85F96" w14:textId="78FC44A1"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Yes</w:t>
            </w:r>
          </w:p>
        </w:tc>
        <w:tc>
          <w:tcPr>
            <w:tcW w:w="1620" w:type="dxa"/>
            <w:tcBorders>
              <w:left w:val="nil"/>
              <w:bottom w:val="single" w:sz="4" w:space="0" w:color="auto"/>
              <w:right w:val="nil"/>
            </w:tcBorders>
          </w:tcPr>
          <w:p w14:paraId="4907ED23" w14:textId="7087349E"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No</w:t>
            </w:r>
          </w:p>
        </w:tc>
        <w:tc>
          <w:tcPr>
            <w:tcW w:w="1620" w:type="dxa"/>
            <w:tcBorders>
              <w:left w:val="nil"/>
              <w:bottom w:val="single" w:sz="4" w:space="0" w:color="auto"/>
              <w:right w:val="single" w:sz="4" w:space="0" w:color="auto"/>
            </w:tcBorders>
          </w:tcPr>
          <w:p w14:paraId="502123EB" w14:textId="5E4699F6" w:rsidR="0067122B" w:rsidRPr="0048605B" w:rsidRDefault="0067122B" w:rsidP="0067122B">
            <w:pPr>
              <w:jc w:val="cente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2"/>
                <w:szCs w:val="22"/>
              </w:rPr>
              <w:t>Yes</w:t>
            </w:r>
          </w:p>
        </w:tc>
      </w:tr>
      <w:tr w:rsidR="0067122B" w:rsidRPr="0048605B" w14:paraId="7534B716" w14:textId="77777777" w:rsidTr="0067122B">
        <w:tc>
          <w:tcPr>
            <w:tcW w:w="4045" w:type="dxa"/>
            <w:tcBorders>
              <w:bottom w:val="nil"/>
              <w:right w:val="nil"/>
            </w:tcBorders>
            <w:vAlign w:val="center"/>
          </w:tcPr>
          <w:p w14:paraId="58538107" w14:textId="77777777" w:rsidR="0067122B" w:rsidRPr="0048605B" w:rsidRDefault="0067122B" w:rsidP="0067122B">
            <w:pPr>
              <w:rPr>
                <w:rFonts w:ascii="Times New Roman" w:hAnsi="Times New Roman" w:cs="Times New Roman"/>
                <w:color w:val="000000" w:themeColor="text1"/>
                <w:sz w:val="20"/>
                <w:szCs w:val="20"/>
              </w:rPr>
            </w:pPr>
          </w:p>
        </w:tc>
        <w:tc>
          <w:tcPr>
            <w:tcW w:w="1440" w:type="dxa"/>
            <w:tcBorders>
              <w:left w:val="nil"/>
              <w:bottom w:val="nil"/>
              <w:right w:val="nil"/>
            </w:tcBorders>
            <w:vAlign w:val="center"/>
          </w:tcPr>
          <w:p w14:paraId="1689E0E8" w14:textId="77777777" w:rsidR="0067122B" w:rsidRDefault="0067122B" w:rsidP="0067122B">
            <w:pPr>
              <w:jc w:val="center"/>
              <w:rPr>
                <w:rFonts w:ascii="Times New Roman" w:hAnsi="Times New Roman" w:cs="Times New Roman"/>
                <w:color w:val="000000" w:themeColor="text1"/>
                <w:sz w:val="20"/>
                <w:szCs w:val="20"/>
              </w:rPr>
            </w:pPr>
          </w:p>
        </w:tc>
        <w:tc>
          <w:tcPr>
            <w:tcW w:w="1440" w:type="dxa"/>
            <w:tcBorders>
              <w:left w:val="nil"/>
              <w:bottom w:val="nil"/>
              <w:right w:val="nil"/>
            </w:tcBorders>
            <w:vAlign w:val="center"/>
          </w:tcPr>
          <w:p w14:paraId="4285E552" w14:textId="77777777" w:rsidR="0067122B" w:rsidRDefault="0067122B" w:rsidP="0067122B">
            <w:pPr>
              <w:jc w:val="center"/>
              <w:rPr>
                <w:rFonts w:ascii="Times New Roman" w:hAnsi="Times New Roman" w:cs="Times New Roman"/>
                <w:color w:val="000000" w:themeColor="text1"/>
                <w:sz w:val="20"/>
                <w:szCs w:val="20"/>
              </w:rPr>
            </w:pPr>
          </w:p>
        </w:tc>
        <w:tc>
          <w:tcPr>
            <w:tcW w:w="1620" w:type="dxa"/>
            <w:tcBorders>
              <w:left w:val="nil"/>
              <w:bottom w:val="nil"/>
              <w:right w:val="nil"/>
            </w:tcBorders>
            <w:vAlign w:val="center"/>
          </w:tcPr>
          <w:p w14:paraId="25BB47BE" w14:textId="77777777" w:rsidR="0067122B" w:rsidRDefault="0067122B" w:rsidP="0067122B">
            <w:pPr>
              <w:jc w:val="center"/>
              <w:rPr>
                <w:rFonts w:ascii="Times New Roman" w:hAnsi="Times New Roman" w:cs="Times New Roman"/>
                <w:color w:val="000000" w:themeColor="text1"/>
                <w:sz w:val="20"/>
                <w:szCs w:val="20"/>
              </w:rPr>
            </w:pPr>
          </w:p>
        </w:tc>
        <w:tc>
          <w:tcPr>
            <w:tcW w:w="1620" w:type="dxa"/>
            <w:tcBorders>
              <w:left w:val="nil"/>
              <w:bottom w:val="nil"/>
              <w:right w:val="single" w:sz="4" w:space="0" w:color="auto"/>
            </w:tcBorders>
            <w:vAlign w:val="center"/>
          </w:tcPr>
          <w:p w14:paraId="1CBC0C68" w14:textId="77777777" w:rsidR="0067122B" w:rsidRDefault="0067122B" w:rsidP="0067122B">
            <w:pPr>
              <w:jc w:val="center"/>
              <w:rPr>
                <w:rFonts w:ascii="Times New Roman" w:hAnsi="Times New Roman" w:cs="Times New Roman"/>
                <w:color w:val="000000" w:themeColor="text1"/>
                <w:sz w:val="20"/>
                <w:szCs w:val="20"/>
              </w:rPr>
            </w:pPr>
          </w:p>
        </w:tc>
      </w:tr>
      <w:tr w:rsidR="0067122B" w:rsidRPr="0048605B" w14:paraId="5A24F13A" w14:textId="77777777" w:rsidTr="0067122B">
        <w:tc>
          <w:tcPr>
            <w:tcW w:w="4045" w:type="dxa"/>
            <w:tcBorders>
              <w:top w:val="nil"/>
              <w:bottom w:val="single" w:sz="4" w:space="0" w:color="auto"/>
              <w:right w:val="nil"/>
            </w:tcBorders>
            <w:vAlign w:val="center"/>
          </w:tcPr>
          <w:p w14:paraId="0C4CAB4F" w14:textId="77777777" w:rsidR="0067122B" w:rsidRPr="0048605B" w:rsidRDefault="0067122B" w:rsidP="0067122B">
            <w:pPr>
              <w:jc w:val="center"/>
              <w:rPr>
                <w:rFonts w:ascii="Times New Roman" w:hAnsi="Times New Roman" w:cs="Times New Roman"/>
                <w:color w:val="000000" w:themeColor="text1"/>
                <w:sz w:val="22"/>
                <w:szCs w:val="22"/>
              </w:rPr>
            </w:pPr>
            <w:r w:rsidRPr="0048605B">
              <w:rPr>
                <w:rFonts w:ascii="Times New Roman" w:hAnsi="Times New Roman" w:cs="Times New Roman"/>
                <w:color w:val="000000" w:themeColor="text1"/>
                <w:sz w:val="22"/>
                <w:szCs w:val="22"/>
              </w:rPr>
              <w:t>Outcome: Earned Insurance Premium</w:t>
            </w:r>
          </w:p>
          <w:p w14:paraId="03426CE4" w14:textId="77777777" w:rsidR="0067122B" w:rsidRPr="0048605B" w:rsidRDefault="0067122B" w:rsidP="0067122B">
            <w:pPr>
              <w:rPr>
                <w:rFonts w:ascii="Times New Roman" w:hAnsi="Times New Roman" w:cs="Times New Roman"/>
                <w:color w:val="000000" w:themeColor="text1"/>
                <w:sz w:val="20"/>
                <w:szCs w:val="20"/>
              </w:rPr>
            </w:pPr>
          </w:p>
        </w:tc>
        <w:tc>
          <w:tcPr>
            <w:tcW w:w="1440" w:type="dxa"/>
            <w:tcBorders>
              <w:top w:val="nil"/>
              <w:left w:val="nil"/>
              <w:bottom w:val="single" w:sz="4" w:space="0" w:color="auto"/>
              <w:right w:val="nil"/>
            </w:tcBorders>
            <w:vAlign w:val="center"/>
          </w:tcPr>
          <w:p w14:paraId="26580BC5" w14:textId="77777777" w:rsidR="0067122B" w:rsidRDefault="0067122B" w:rsidP="0067122B">
            <w:pPr>
              <w:jc w:val="center"/>
              <w:rPr>
                <w:rFonts w:ascii="Times New Roman" w:hAnsi="Times New Roman" w:cs="Times New Roman"/>
                <w:color w:val="000000" w:themeColor="text1"/>
                <w:sz w:val="20"/>
                <w:szCs w:val="20"/>
              </w:rPr>
            </w:pPr>
          </w:p>
        </w:tc>
        <w:tc>
          <w:tcPr>
            <w:tcW w:w="1440" w:type="dxa"/>
            <w:tcBorders>
              <w:top w:val="nil"/>
              <w:left w:val="nil"/>
              <w:bottom w:val="single" w:sz="4" w:space="0" w:color="auto"/>
              <w:right w:val="nil"/>
            </w:tcBorders>
            <w:vAlign w:val="center"/>
          </w:tcPr>
          <w:p w14:paraId="1AC84D1A" w14:textId="77777777" w:rsidR="0067122B" w:rsidRDefault="0067122B" w:rsidP="0067122B">
            <w:pPr>
              <w:jc w:val="center"/>
              <w:rPr>
                <w:rFonts w:ascii="Times New Roman" w:hAnsi="Times New Roman" w:cs="Times New Roman"/>
                <w:color w:val="000000" w:themeColor="text1"/>
                <w:sz w:val="20"/>
                <w:szCs w:val="20"/>
              </w:rPr>
            </w:pPr>
          </w:p>
        </w:tc>
        <w:tc>
          <w:tcPr>
            <w:tcW w:w="1620" w:type="dxa"/>
            <w:tcBorders>
              <w:top w:val="nil"/>
              <w:left w:val="nil"/>
              <w:bottom w:val="single" w:sz="4" w:space="0" w:color="auto"/>
              <w:right w:val="nil"/>
            </w:tcBorders>
            <w:vAlign w:val="center"/>
          </w:tcPr>
          <w:p w14:paraId="1142A255" w14:textId="77777777" w:rsidR="0067122B" w:rsidRDefault="0067122B" w:rsidP="0067122B">
            <w:pPr>
              <w:jc w:val="center"/>
              <w:rPr>
                <w:rFonts w:ascii="Times New Roman" w:hAnsi="Times New Roman" w:cs="Times New Roman"/>
                <w:color w:val="000000" w:themeColor="text1"/>
                <w:sz w:val="20"/>
                <w:szCs w:val="20"/>
              </w:rPr>
            </w:pPr>
          </w:p>
        </w:tc>
        <w:tc>
          <w:tcPr>
            <w:tcW w:w="1620" w:type="dxa"/>
            <w:tcBorders>
              <w:top w:val="nil"/>
              <w:left w:val="nil"/>
              <w:bottom w:val="single" w:sz="4" w:space="0" w:color="auto"/>
              <w:right w:val="single" w:sz="4" w:space="0" w:color="auto"/>
            </w:tcBorders>
            <w:vAlign w:val="center"/>
          </w:tcPr>
          <w:p w14:paraId="445A6015" w14:textId="77777777" w:rsidR="0067122B" w:rsidRDefault="0067122B" w:rsidP="0067122B">
            <w:pPr>
              <w:jc w:val="center"/>
              <w:rPr>
                <w:rFonts w:ascii="Times New Roman" w:hAnsi="Times New Roman" w:cs="Times New Roman"/>
                <w:color w:val="000000" w:themeColor="text1"/>
                <w:sz w:val="20"/>
                <w:szCs w:val="20"/>
              </w:rPr>
            </w:pPr>
          </w:p>
        </w:tc>
      </w:tr>
      <w:tr w:rsidR="0067122B" w:rsidRPr="0048605B" w14:paraId="7903A00E" w14:textId="77777777" w:rsidTr="00F13B95">
        <w:tc>
          <w:tcPr>
            <w:tcW w:w="4045" w:type="dxa"/>
            <w:tcBorders>
              <w:bottom w:val="single" w:sz="4" w:space="0" w:color="auto"/>
              <w:right w:val="nil"/>
            </w:tcBorders>
            <w:vAlign w:val="center"/>
          </w:tcPr>
          <w:p w14:paraId="1A5D0345" w14:textId="77777777" w:rsidR="0067122B" w:rsidRPr="0048605B" w:rsidRDefault="0067122B" w:rsidP="0067122B">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lastRenderedPageBreak/>
              <w:t>Homeowner’s Catastrophic Property Fire Damage</w:t>
            </w:r>
          </w:p>
        </w:tc>
        <w:tc>
          <w:tcPr>
            <w:tcW w:w="1440" w:type="dxa"/>
            <w:tcBorders>
              <w:left w:val="nil"/>
              <w:bottom w:val="single" w:sz="4" w:space="0" w:color="auto"/>
              <w:right w:val="nil"/>
            </w:tcBorders>
            <w:vAlign w:val="center"/>
          </w:tcPr>
          <w:p w14:paraId="78C4C878" w14:textId="5FB5196B"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440" w:type="dxa"/>
            <w:tcBorders>
              <w:left w:val="nil"/>
              <w:bottom w:val="single" w:sz="4" w:space="0" w:color="auto"/>
              <w:right w:val="nil"/>
            </w:tcBorders>
            <w:vAlign w:val="center"/>
          </w:tcPr>
          <w:p w14:paraId="5D5C82F2" w14:textId="419CF443"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620" w:type="dxa"/>
            <w:tcBorders>
              <w:left w:val="nil"/>
              <w:bottom w:val="single" w:sz="4" w:space="0" w:color="auto"/>
              <w:right w:val="nil"/>
            </w:tcBorders>
            <w:vAlign w:val="center"/>
          </w:tcPr>
          <w:p w14:paraId="411869D0" w14:textId="1EB5046C"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 increase</w:t>
            </w:r>
          </w:p>
        </w:tc>
        <w:tc>
          <w:tcPr>
            <w:tcW w:w="1620" w:type="dxa"/>
            <w:tcBorders>
              <w:left w:val="nil"/>
              <w:bottom w:val="single" w:sz="4" w:space="0" w:color="auto"/>
              <w:right w:val="single" w:sz="4" w:space="0" w:color="auto"/>
            </w:tcBorders>
            <w:vAlign w:val="center"/>
          </w:tcPr>
          <w:p w14:paraId="60A0199E" w14:textId="6E86F74F"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 increase</w:t>
            </w:r>
          </w:p>
        </w:tc>
      </w:tr>
      <w:tr w:rsidR="0067122B" w:rsidRPr="0048605B" w14:paraId="04788766" w14:textId="77777777" w:rsidTr="00F13B95">
        <w:tc>
          <w:tcPr>
            <w:tcW w:w="4045" w:type="dxa"/>
            <w:tcBorders>
              <w:bottom w:val="single" w:sz="4" w:space="0" w:color="auto"/>
              <w:right w:val="nil"/>
            </w:tcBorders>
            <w:vAlign w:val="center"/>
          </w:tcPr>
          <w:p w14:paraId="1B203B3D" w14:textId="77777777" w:rsidR="0067122B" w:rsidRPr="0048605B" w:rsidRDefault="0067122B" w:rsidP="0067122B">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Homeowner’s Catastrophic Property Smoke Damage</w:t>
            </w:r>
          </w:p>
        </w:tc>
        <w:tc>
          <w:tcPr>
            <w:tcW w:w="1440" w:type="dxa"/>
            <w:tcBorders>
              <w:left w:val="nil"/>
              <w:bottom w:val="single" w:sz="4" w:space="0" w:color="auto"/>
              <w:right w:val="nil"/>
            </w:tcBorders>
            <w:vAlign w:val="center"/>
          </w:tcPr>
          <w:p w14:paraId="4FCCCB01" w14:textId="59A5603D"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440" w:type="dxa"/>
            <w:tcBorders>
              <w:left w:val="nil"/>
              <w:bottom w:val="single" w:sz="4" w:space="0" w:color="auto"/>
              <w:right w:val="nil"/>
            </w:tcBorders>
            <w:vAlign w:val="center"/>
          </w:tcPr>
          <w:p w14:paraId="7E94B934" w14:textId="3869FBAC"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620" w:type="dxa"/>
            <w:tcBorders>
              <w:left w:val="nil"/>
              <w:bottom w:val="single" w:sz="4" w:space="0" w:color="auto"/>
              <w:right w:val="nil"/>
            </w:tcBorders>
            <w:vAlign w:val="center"/>
          </w:tcPr>
          <w:p w14:paraId="2A9209E9" w14:textId="54E8C475"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620" w:type="dxa"/>
            <w:tcBorders>
              <w:left w:val="nil"/>
              <w:bottom w:val="single" w:sz="4" w:space="0" w:color="auto"/>
              <w:right w:val="single" w:sz="4" w:space="0" w:color="auto"/>
            </w:tcBorders>
            <w:vAlign w:val="center"/>
          </w:tcPr>
          <w:p w14:paraId="3F92F973" w14:textId="0D570631"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 increase</w:t>
            </w:r>
            <w:r>
              <w:rPr>
                <w:rFonts w:ascii="Times New Roman" w:hAnsi="Times New Roman" w:cs="Times New Roman"/>
                <w:color w:val="000000" w:themeColor="text1"/>
                <w:sz w:val="20"/>
                <w:szCs w:val="20"/>
              </w:rPr>
              <w:softHyphen/>
            </w:r>
          </w:p>
        </w:tc>
      </w:tr>
      <w:tr w:rsidR="0067122B" w:rsidRPr="0048605B" w14:paraId="6B15A575" w14:textId="77777777" w:rsidTr="00F13B95">
        <w:tc>
          <w:tcPr>
            <w:tcW w:w="4045" w:type="dxa"/>
            <w:tcBorders>
              <w:bottom w:val="single" w:sz="4" w:space="0" w:color="auto"/>
              <w:right w:val="nil"/>
            </w:tcBorders>
            <w:vAlign w:val="center"/>
          </w:tcPr>
          <w:p w14:paraId="2E22A87C" w14:textId="77777777" w:rsidR="0067122B" w:rsidRPr="0048605B" w:rsidRDefault="0067122B" w:rsidP="0067122B">
            <w:pPr>
              <w:rPr>
                <w:rFonts w:ascii="Times New Roman" w:hAnsi="Times New Roman" w:cs="Times New Roman"/>
                <w:color w:val="000000" w:themeColor="text1"/>
                <w:sz w:val="20"/>
                <w:szCs w:val="20"/>
              </w:rPr>
            </w:pPr>
            <w:r w:rsidRPr="007D1FBF">
              <w:rPr>
                <w:rFonts w:ascii="Times New Roman" w:hAnsi="Times New Roman" w:cs="Times New Roman"/>
                <w:color w:val="000000" w:themeColor="text1"/>
                <w:sz w:val="20"/>
                <w:szCs w:val="20"/>
                <w:highlight w:val="yellow"/>
              </w:rPr>
              <w:t>Owner-Occupied Non-Catastrophic Structural Fire Damage</w:t>
            </w:r>
          </w:p>
        </w:tc>
        <w:tc>
          <w:tcPr>
            <w:tcW w:w="1440" w:type="dxa"/>
            <w:tcBorders>
              <w:left w:val="nil"/>
              <w:bottom w:val="single" w:sz="4" w:space="0" w:color="auto"/>
              <w:right w:val="nil"/>
            </w:tcBorders>
            <w:vAlign w:val="center"/>
          </w:tcPr>
          <w:p w14:paraId="02A67B63" w14:textId="06A7AC65"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25.8% increase</w:t>
            </w:r>
          </w:p>
        </w:tc>
        <w:tc>
          <w:tcPr>
            <w:tcW w:w="1440" w:type="dxa"/>
            <w:tcBorders>
              <w:left w:val="nil"/>
              <w:bottom w:val="single" w:sz="4" w:space="0" w:color="auto"/>
              <w:right w:val="nil"/>
            </w:tcBorders>
            <w:vAlign w:val="center"/>
          </w:tcPr>
          <w:p w14:paraId="47D82C61" w14:textId="52CC41DA"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27.1% increase</w:t>
            </w:r>
          </w:p>
        </w:tc>
        <w:tc>
          <w:tcPr>
            <w:tcW w:w="1620" w:type="dxa"/>
            <w:tcBorders>
              <w:left w:val="nil"/>
              <w:bottom w:val="single" w:sz="4" w:space="0" w:color="auto"/>
              <w:right w:val="nil"/>
            </w:tcBorders>
            <w:vAlign w:val="center"/>
          </w:tcPr>
          <w:p w14:paraId="4B2B4D8C" w14:textId="521F5876"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101.3% increase</w:t>
            </w:r>
          </w:p>
        </w:tc>
        <w:tc>
          <w:tcPr>
            <w:tcW w:w="1620" w:type="dxa"/>
            <w:tcBorders>
              <w:left w:val="nil"/>
              <w:bottom w:val="single" w:sz="4" w:space="0" w:color="auto"/>
              <w:right w:val="single" w:sz="4" w:space="0" w:color="auto"/>
            </w:tcBorders>
            <w:vAlign w:val="center"/>
          </w:tcPr>
          <w:p w14:paraId="574AC934" w14:textId="4097D3A5"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103.4% increase</w:t>
            </w:r>
          </w:p>
        </w:tc>
      </w:tr>
      <w:tr w:rsidR="0067122B" w:rsidRPr="0048605B" w14:paraId="34809109" w14:textId="77777777" w:rsidTr="00F13B95">
        <w:tc>
          <w:tcPr>
            <w:tcW w:w="4045" w:type="dxa"/>
            <w:tcBorders>
              <w:bottom w:val="single" w:sz="4" w:space="0" w:color="auto"/>
              <w:right w:val="nil"/>
            </w:tcBorders>
            <w:vAlign w:val="center"/>
          </w:tcPr>
          <w:p w14:paraId="387963FA" w14:textId="77777777" w:rsidR="0067122B" w:rsidRPr="0048605B" w:rsidRDefault="0067122B" w:rsidP="0067122B">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Owner-Occupied Non-Catastrophic Property Fire Damage</w:t>
            </w:r>
          </w:p>
        </w:tc>
        <w:tc>
          <w:tcPr>
            <w:tcW w:w="1440" w:type="dxa"/>
            <w:tcBorders>
              <w:left w:val="nil"/>
              <w:bottom w:val="single" w:sz="4" w:space="0" w:color="auto"/>
              <w:right w:val="nil"/>
            </w:tcBorders>
            <w:vAlign w:val="center"/>
          </w:tcPr>
          <w:p w14:paraId="4759A891" w14:textId="249B6DD9"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440" w:type="dxa"/>
            <w:tcBorders>
              <w:left w:val="nil"/>
              <w:bottom w:val="single" w:sz="4" w:space="0" w:color="auto"/>
              <w:right w:val="nil"/>
            </w:tcBorders>
            <w:vAlign w:val="center"/>
          </w:tcPr>
          <w:p w14:paraId="55A49339" w14:textId="7D7B6854"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36.3% increase</w:t>
            </w:r>
          </w:p>
        </w:tc>
        <w:tc>
          <w:tcPr>
            <w:tcW w:w="1620" w:type="dxa"/>
            <w:tcBorders>
              <w:left w:val="nil"/>
              <w:bottom w:val="single" w:sz="4" w:space="0" w:color="auto"/>
              <w:right w:val="nil"/>
            </w:tcBorders>
            <w:vAlign w:val="center"/>
          </w:tcPr>
          <w:p w14:paraId="25B0D5AA" w14:textId="79D1DAD2"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620" w:type="dxa"/>
            <w:tcBorders>
              <w:left w:val="nil"/>
              <w:bottom w:val="single" w:sz="4" w:space="0" w:color="auto"/>
              <w:right w:val="single" w:sz="4" w:space="0" w:color="auto"/>
            </w:tcBorders>
            <w:vAlign w:val="center"/>
          </w:tcPr>
          <w:p w14:paraId="0C019A13" w14:textId="02C4A4F3"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r>
      <w:tr w:rsidR="0067122B" w:rsidRPr="0048605B" w14:paraId="0702E6D0" w14:textId="77777777" w:rsidTr="00F13B95">
        <w:tc>
          <w:tcPr>
            <w:tcW w:w="4045" w:type="dxa"/>
            <w:tcBorders>
              <w:bottom w:val="single" w:sz="4" w:space="0" w:color="auto"/>
              <w:right w:val="nil"/>
            </w:tcBorders>
            <w:vAlign w:val="center"/>
          </w:tcPr>
          <w:p w14:paraId="4C9A846A" w14:textId="77777777" w:rsidR="0067122B" w:rsidRPr="0048605B" w:rsidRDefault="0067122B" w:rsidP="0067122B">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Tenant-Occupied Non-Catastrophic Structural Fire Damage</w:t>
            </w:r>
          </w:p>
        </w:tc>
        <w:tc>
          <w:tcPr>
            <w:tcW w:w="1440" w:type="dxa"/>
            <w:tcBorders>
              <w:left w:val="nil"/>
              <w:bottom w:val="single" w:sz="4" w:space="0" w:color="auto"/>
              <w:right w:val="nil"/>
            </w:tcBorders>
            <w:vAlign w:val="center"/>
          </w:tcPr>
          <w:p w14:paraId="5ED6C626" w14:textId="3CB858D7" w:rsidR="0067122B" w:rsidRPr="00F13B95"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6.1% </w:t>
            </w:r>
            <w:r w:rsidRPr="00F13B95">
              <w:rPr>
                <w:rFonts w:ascii="Times New Roman" w:hAnsi="Times New Roman" w:cs="Times New Roman"/>
                <w:color w:val="000000" w:themeColor="text1"/>
                <w:sz w:val="20"/>
                <w:szCs w:val="20"/>
              </w:rPr>
              <w:t>increase</w:t>
            </w:r>
          </w:p>
        </w:tc>
        <w:tc>
          <w:tcPr>
            <w:tcW w:w="1440" w:type="dxa"/>
            <w:tcBorders>
              <w:left w:val="nil"/>
              <w:bottom w:val="single" w:sz="4" w:space="0" w:color="auto"/>
              <w:right w:val="nil"/>
            </w:tcBorders>
            <w:vAlign w:val="center"/>
          </w:tcPr>
          <w:p w14:paraId="707C925E" w14:textId="56EC397C"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 increase</w:t>
            </w:r>
          </w:p>
        </w:tc>
        <w:tc>
          <w:tcPr>
            <w:tcW w:w="1620" w:type="dxa"/>
            <w:tcBorders>
              <w:left w:val="nil"/>
              <w:bottom w:val="single" w:sz="4" w:space="0" w:color="auto"/>
              <w:right w:val="nil"/>
            </w:tcBorders>
            <w:vAlign w:val="center"/>
          </w:tcPr>
          <w:p w14:paraId="760815EF" w14:textId="4CF8BF17"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620" w:type="dxa"/>
            <w:tcBorders>
              <w:left w:val="nil"/>
              <w:bottom w:val="single" w:sz="4" w:space="0" w:color="auto"/>
              <w:right w:val="single" w:sz="4" w:space="0" w:color="auto"/>
            </w:tcBorders>
            <w:vAlign w:val="center"/>
          </w:tcPr>
          <w:p w14:paraId="2F3E6058" w14:textId="7DC7B3C4"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r>
      <w:tr w:rsidR="0067122B" w:rsidRPr="0048605B" w14:paraId="6A610748" w14:textId="77777777" w:rsidTr="00F13B95">
        <w:tc>
          <w:tcPr>
            <w:tcW w:w="4045" w:type="dxa"/>
            <w:tcBorders>
              <w:bottom w:val="single" w:sz="4" w:space="0" w:color="auto"/>
              <w:right w:val="nil"/>
            </w:tcBorders>
            <w:vAlign w:val="center"/>
          </w:tcPr>
          <w:p w14:paraId="155D810C" w14:textId="77777777" w:rsidR="0067122B" w:rsidRPr="0048605B" w:rsidRDefault="0067122B" w:rsidP="0067122B">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Tenant-Occupied Non-Catastrophic Property Fire Damage</w:t>
            </w:r>
          </w:p>
        </w:tc>
        <w:tc>
          <w:tcPr>
            <w:tcW w:w="1440" w:type="dxa"/>
            <w:tcBorders>
              <w:left w:val="nil"/>
              <w:bottom w:val="single" w:sz="4" w:space="0" w:color="auto"/>
              <w:right w:val="nil"/>
            </w:tcBorders>
            <w:vAlign w:val="center"/>
          </w:tcPr>
          <w:p w14:paraId="3F2C67C6" w14:textId="714851F3"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440" w:type="dxa"/>
            <w:tcBorders>
              <w:left w:val="nil"/>
              <w:bottom w:val="single" w:sz="4" w:space="0" w:color="auto"/>
              <w:right w:val="nil"/>
            </w:tcBorders>
            <w:vAlign w:val="center"/>
          </w:tcPr>
          <w:p w14:paraId="2595FC89" w14:textId="24667FC6"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11.6%</w:t>
            </w:r>
          </w:p>
        </w:tc>
        <w:tc>
          <w:tcPr>
            <w:tcW w:w="1620" w:type="dxa"/>
            <w:tcBorders>
              <w:left w:val="nil"/>
              <w:bottom w:val="single" w:sz="4" w:space="0" w:color="auto"/>
              <w:right w:val="nil"/>
            </w:tcBorders>
            <w:vAlign w:val="center"/>
          </w:tcPr>
          <w:p w14:paraId="0605D2F0" w14:textId="7E7CB8C1"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620" w:type="dxa"/>
            <w:tcBorders>
              <w:left w:val="nil"/>
              <w:bottom w:val="single" w:sz="4" w:space="0" w:color="auto"/>
              <w:right w:val="single" w:sz="4" w:space="0" w:color="auto"/>
            </w:tcBorders>
            <w:vAlign w:val="center"/>
          </w:tcPr>
          <w:p w14:paraId="2879F963" w14:textId="11C8D075"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r>
      <w:tr w:rsidR="0067122B" w:rsidRPr="0048605B" w14:paraId="0AD50DA3" w14:textId="77777777" w:rsidTr="00F13B95">
        <w:trPr>
          <w:trHeight w:val="314"/>
        </w:trPr>
        <w:tc>
          <w:tcPr>
            <w:tcW w:w="4045" w:type="dxa"/>
            <w:tcBorders>
              <w:bottom w:val="single" w:sz="4" w:space="0" w:color="auto"/>
              <w:right w:val="nil"/>
            </w:tcBorders>
            <w:vAlign w:val="center"/>
          </w:tcPr>
          <w:p w14:paraId="27613777" w14:textId="77777777" w:rsidR="0067122B" w:rsidRPr="0048605B" w:rsidRDefault="0067122B" w:rsidP="0067122B">
            <w:pPr>
              <w:rPr>
                <w:rFonts w:ascii="Times New Roman" w:hAnsi="Times New Roman" w:cs="Times New Roman"/>
                <w:color w:val="000000" w:themeColor="text1"/>
                <w:sz w:val="20"/>
                <w:szCs w:val="20"/>
              </w:rPr>
            </w:pPr>
            <w:r w:rsidRPr="0048605B">
              <w:rPr>
                <w:rFonts w:ascii="Times New Roman" w:hAnsi="Times New Roman" w:cs="Times New Roman"/>
                <w:color w:val="000000" w:themeColor="text1"/>
                <w:sz w:val="20"/>
                <w:szCs w:val="20"/>
              </w:rPr>
              <w:t>Tenant-Occupied Catastrophic Structural Fire Damage</w:t>
            </w:r>
          </w:p>
        </w:tc>
        <w:tc>
          <w:tcPr>
            <w:tcW w:w="1440" w:type="dxa"/>
            <w:tcBorders>
              <w:left w:val="nil"/>
              <w:bottom w:val="single" w:sz="4" w:space="0" w:color="auto"/>
              <w:right w:val="nil"/>
            </w:tcBorders>
            <w:vAlign w:val="center"/>
          </w:tcPr>
          <w:p w14:paraId="57998FB2" w14:textId="5FF1D438"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440" w:type="dxa"/>
            <w:tcBorders>
              <w:left w:val="nil"/>
              <w:bottom w:val="single" w:sz="4" w:space="0" w:color="auto"/>
              <w:right w:val="nil"/>
            </w:tcBorders>
            <w:vAlign w:val="center"/>
          </w:tcPr>
          <w:p w14:paraId="392A73BC" w14:textId="74E6C663"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 increase</w:t>
            </w:r>
          </w:p>
        </w:tc>
        <w:tc>
          <w:tcPr>
            <w:tcW w:w="1620" w:type="dxa"/>
            <w:tcBorders>
              <w:left w:val="nil"/>
              <w:bottom w:val="single" w:sz="4" w:space="0" w:color="auto"/>
              <w:right w:val="nil"/>
            </w:tcBorders>
            <w:vAlign w:val="center"/>
          </w:tcPr>
          <w:p w14:paraId="14F35695" w14:textId="59438B22"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620" w:type="dxa"/>
            <w:tcBorders>
              <w:left w:val="nil"/>
              <w:bottom w:val="single" w:sz="4" w:space="0" w:color="auto"/>
              <w:right w:val="single" w:sz="4" w:space="0" w:color="auto"/>
            </w:tcBorders>
            <w:vAlign w:val="center"/>
          </w:tcPr>
          <w:p w14:paraId="6D23A099" w14:textId="0F3D7684"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r>
      <w:tr w:rsidR="0067122B" w:rsidRPr="0048605B" w14:paraId="686A7E9E" w14:textId="77777777" w:rsidTr="00F13B95">
        <w:tc>
          <w:tcPr>
            <w:tcW w:w="4045" w:type="dxa"/>
            <w:tcBorders>
              <w:right w:val="nil"/>
            </w:tcBorders>
          </w:tcPr>
          <w:p w14:paraId="342FF3D7" w14:textId="3F10940B" w:rsidR="0067122B" w:rsidRPr="0048605B" w:rsidRDefault="0067122B" w:rsidP="0067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Renter/Tenant’s</w:t>
            </w:r>
            <w:r w:rsidRPr="00EE4168">
              <w:rPr>
                <w:rFonts w:ascii="Times New Roman" w:hAnsi="Times New Roman" w:cs="Times New Roman"/>
                <w:color w:val="000000" w:themeColor="text1"/>
                <w:sz w:val="20"/>
                <w:szCs w:val="20"/>
              </w:rPr>
              <w:t xml:space="preserve"> Non-Catastrophic Property Fire Damage</w:t>
            </w:r>
          </w:p>
        </w:tc>
        <w:tc>
          <w:tcPr>
            <w:tcW w:w="1440" w:type="dxa"/>
            <w:tcBorders>
              <w:top w:val="single" w:sz="4" w:space="0" w:color="auto"/>
              <w:left w:val="nil"/>
              <w:right w:val="nil"/>
            </w:tcBorders>
            <w:vAlign w:val="center"/>
          </w:tcPr>
          <w:p w14:paraId="2EAA4FE1" w14:textId="41A52774" w:rsidR="0067122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32.3% increase</w:t>
            </w:r>
          </w:p>
        </w:tc>
        <w:tc>
          <w:tcPr>
            <w:tcW w:w="1440" w:type="dxa"/>
            <w:tcBorders>
              <w:top w:val="single" w:sz="4" w:space="0" w:color="auto"/>
              <w:left w:val="nil"/>
              <w:right w:val="nil"/>
            </w:tcBorders>
            <w:vAlign w:val="center"/>
          </w:tcPr>
          <w:p w14:paraId="56C73D3C" w14:textId="6BEDC5CE" w:rsidR="0067122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620" w:type="dxa"/>
            <w:tcBorders>
              <w:top w:val="single" w:sz="4" w:space="0" w:color="auto"/>
              <w:left w:val="nil"/>
              <w:right w:val="nil"/>
            </w:tcBorders>
            <w:vAlign w:val="center"/>
          </w:tcPr>
          <w:p w14:paraId="3485001D" w14:textId="1BCA5E35"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Insignificant</w:t>
            </w:r>
          </w:p>
        </w:tc>
        <w:tc>
          <w:tcPr>
            <w:tcW w:w="1620" w:type="dxa"/>
            <w:tcBorders>
              <w:top w:val="single" w:sz="4" w:space="0" w:color="auto"/>
              <w:left w:val="nil"/>
            </w:tcBorders>
            <w:vAlign w:val="center"/>
          </w:tcPr>
          <w:p w14:paraId="6D621FCA" w14:textId="1CABB6E7" w:rsidR="0067122B" w:rsidRPr="0048605B" w:rsidRDefault="0067122B" w:rsidP="0067122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 reduction</w:t>
            </w:r>
          </w:p>
        </w:tc>
      </w:tr>
    </w:tbl>
    <w:p w14:paraId="11240C5A" w14:textId="77777777" w:rsidR="0048605B" w:rsidRDefault="0048605B" w:rsidP="0048605B">
      <w:pPr>
        <w:rPr>
          <w:rFonts w:ascii="Times New Roman" w:hAnsi="Times New Roman" w:cs="Times New Roman"/>
          <w:sz w:val="18"/>
          <w:szCs w:val="18"/>
        </w:rPr>
      </w:pPr>
    </w:p>
    <w:p w14:paraId="23A097CC" w14:textId="77777777" w:rsidR="0048605B" w:rsidRDefault="0048605B" w:rsidP="0048605B">
      <w:pPr>
        <w:rPr>
          <w:rFonts w:ascii="Times New Roman" w:hAnsi="Times New Roman" w:cs="Times New Roman"/>
          <w:sz w:val="18"/>
          <w:szCs w:val="18"/>
        </w:rPr>
      </w:pPr>
    </w:p>
    <w:p w14:paraId="74233D1B" w14:textId="01D4FBD1" w:rsidR="004E2408" w:rsidRDefault="004E2408" w:rsidP="0048605B">
      <w:pPr>
        <w:rPr>
          <w:rFonts w:ascii="Times New Roman" w:hAnsi="Times New Roman" w:cs="Times New Roman"/>
          <w:sz w:val="22"/>
          <w:szCs w:val="22"/>
          <w:u w:val="single"/>
        </w:rPr>
      </w:pPr>
      <w:r w:rsidRPr="004E2408">
        <w:rPr>
          <w:rFonts w:ascii="Times New Roman" w:hAnsi="Times New Roman" w:cs="Times New Roman"/>
          <w:sz w:val="22"/>
          <w:szCs w:val="22"/>
          <w:u w:val="single"/>
        </w:rPr>
        <w:t>Conclusion</w:t>
      </w:r>
    </w:p>
    <w:p w14:paraId="00D72EE0" w14:textId="77777777" w:rsidR="00074D16" w:rsidRDefault="00074D16" w:rsidP="0048605B">
      <w:pPr>
        <w:rPr>
          <w:rFonts w:ascii="Times New Roman" w:hAnsi="Times New Roman" w:cs="Times New Roman"/>
          <w:sz w:val="22"/>
          <w:szCs w:val="22"/>
          <w:u w:val="single"/>
        </w:rPr>
      </w:pPr>
    </w:p>
    <w:p w14:paraId="31310C8B" w14:textId="24B034EC" w:rsidR="00074D16" w:rsidRPr="00074D16" w:rsidRDefault="00074D16" w:rsidP="0048605B">
      <w:pPr>
        <w:rPr>
          <w:rFonts w:ascii="Times New Roman" w:hAnsi="Times New Roman" w:cs="Times New Roman"/>
          <w:sz w:val="22"/>
          <w:szCs w:val="22"/>
        </w:rPr>
      </w:pPr>
      <w:r>
        <w:rPr>
          <w:rFonts w:ascii="Times New Roman" w:hAnsi="Times New Roman" w:cs="Times New Roman"/>
          <w:sz w:val="22"/>
          <w:szCs w:val="22"/>
        </w:rPr>
        <w:t>While moratorium on non-renewals of insurance attempt to safeguard homes and owners from major losses occurring from fire damage, compelling insurance providers to renew insurance in certain fire-prone locations may lead to increased costs on consumers, via increased premiums charged by providers. The current study captures suggestive evidence that amongst locations that observed fire incidences (proxied by fire insurance related claims made), increase in costs are higher in those that had moratorium relative to those that did not.</w:t>
      </w:r>
    </w:p>
    <w:p w14:paraId="261B8A39" w14:textId="77777777" w:rsidR="004E2408" w:rsidRDefault="004E2408" w:rsidP="0048605B">
      <w:pPr>
        <w:rPr>
          <w:rFonts w:ascii="Times New Roman" w:hAnsi="Times New Roman" w:cs="Times New Roman"/>
          <w:sz w:val="22"/>
          <w:szCs w:val="22"/>
          <w:u w:val="single"/>
        </w:rPr>
      </w:pPr>
    </w:p>
    <w:p w14:paraId="724C8886" w14:textId="5B70DBEC" w:rsidR="004E2408" w:rsidRDefault="00074D16" w:rsidP="0048605B">
      <w:pPr>
        <w:rPr>
          <w:rFonts w:ascii="Times New Roman" w:hAnsi="Times New Roman" w:cs="Times New Roman"/>
          <w:sz w:val="18"/>
          <w:szCs w:val="18"/>
        </w:rPr>
      </w:pPr>
      <w:r>
        <w:rPr>
          <w:rFonts w:ascii="Times New Roman" w:hAnsi="Times New Roman" w:cs="Times New Roman"/>
          <w:sz w:val="22"/>
          <w:szCs w:val="22"/>
        </w:rPr>
        <w:t>More specifically, i</w:t>
      </w:r>
      <w:r w:rsidR="004E2408">
        <w:rPr>
          <w:rFonts w:ascii="Times New Roman" w:hAnsi="Times New Roman" w:cs="Times New Roman"/>
          <w:sz w:val="22"/>
          <w:szCs w:val="22"/>
        </w:rPr>
        <w:t xml:space="preserve">t appears that across both the short term and a relatively longer term, in zip codes where claims were made for policies related to owner-occupied, non-catastrophic, structural fire damage, the moratorium was associated with a higher earned insurance premium. A possible policy prescription following this finding would </w:t>
      </w:r>
      <w:r>
        <w:rPr>
          <w:rFonts w:ascii="Times New Roman" w:hAnsi="Times New Roman" w:cs="Times New Roman"/>
          <w:sz w:val="22"/>
          <w:szCs w:val="22"/>
        </w:rPr>
        <w:t xml:space="preserve">be to reevaluate the costs and benefits associated with this </w:t>
      </w:r>
      <w:proofErr w:type="gramStart"/>
      <w:r>
        <w:rPr>
          <w:rFonts w:ascii="Times New Roman" w:hAnsi="Times New Roman" w:cs="Times New Roman"/>
          <w:sz w:val="22"/>
          <w:szCs w:val="22"/>
        </w:rPr>
        <w:t>particular type of policy</w:t>
      </w:r>
      <w:proofErr w:type="gramEnd"/>
      <w:r>
        <w:rPr>
          <w:rFonts w:ascii="Times New Roman" w:hAnsi="Times New Roman" w:cs="Times New Roman"/>
          <w:sz w:val="22"/>
          <w:szCs w:val="22"/>
        </w:rPr>
        <w:t xml:space="preserve"> to ensure that non-claimants of this sort of policy do not end up paying disproportionately higher premiums as a result of the moratorium.</w:t>
      </w:r>
    </w:p>
    <w:p w14:paraId="15C95A5B" w14:textId="77777777" w:rsidR="004E2408" w:rsidRDefault="004E2408" w:rsidP="0048605B">
      <w:pPr>
        <w:rPr>
          <w:rFonts w:ascii="Times New Roman" w:hAnsi="Times New Roman" w:cs="Times New Roman"/>
          <w:sz w:val="18"/>
          <w:szCs w:val="18"/>
        </w:rPr>
      </w:pPr>
    </w:p>
    <w:p w14:paraId="185A4447" w14:textId="77777777" w:rsidR="0048605B" w:rsidRDefault="0048605B" w:rsidP="0048605B">
      <w:pPr>
        <w:rPr>
          <w:rFonts w:ascii="Times New Roman" w:hAnsi="Times New Roman" w:cs="Times New Roman"/>
          <w:sz w:val="18"/>
          <w:szCs w:val="18"/>
        </w:rPr>
      </w:pPr>
    </w:p>
    <w:p w14:paraId="6B102AE5" w14:textId="77777777" w:rsidR="0048605B" w:rsidRDefault="0048605B" w:rsidP="0048605B">
      <w:pPr>
        <w:rPr>
          <w:rFonts w:ascii="Times New Roman" w:hAnsi="Times New Roman" w:cs="Times New Roman"/>
          <w:sz w:val="18"/>
          <w:szCs w:val="18"/>
        </w:rPr>
      </w:pPr>
    </w:p>
    <w:p w14:paraId="5636392A" w14:textId="77777777" w:rsidR="0048605B" w:rsidRDefault="0048605B" w:rsidP="0048605B">
      <w:pPr>
        <w:rPr>
          <w:rFonts w:ascii="Times New Roman" w:hAnsi="Times New Roman" w:cs="Times New Roman"/>
          <w:sz w:val="18"/>
          <w:szCs w:val="18"/>
        </w:rPr>
      </w:pPr>
    </w:p>
    <w:p w14:paraId="09195806" w14:textId="77777777" w:rsidR="0048605B" w:rsidRDefault="0048605B" w:rsidP="0048605B">
      <w:pPr>
        <w:rPr>
          <w:rFonts w:ascii="Times New Roman" w:hAnsi="Times New Roman" w:cs="Times New Roman"/>
          <w:sz w:val="18"/>
          <w:szCs w:val="18"/>
        </w:rPr>
      </w:pPr>
    </w:p>
    <w:p w14:paraId="7717E6C9" w14:textId="77777777" w:rsidR="0048605B" w:rsidRDefault="0048605B" w:rsidP="0048605B">
      <w:pPr>
        <w:rPr>
          <w:rFonts w:ascii="Times New Roman" w:hAnsi="Times New Roman" w:cs="Times New Roman"/>
          <w:sz w:val="18"/>
          <w:szCs w:val="18"/>
        </w:rPr>
      </w:pPr>
    </w:p>
    <w:p w14:paraId="20613BAA" w14:textId="77777777" w:rsidR="0048605B" w:rsidRPr="0048605B" w:rsidRDefault="0048605B" w:rsidP="0048605B">
      <w:pPr>
        <w:rPr>
          <w:rFonts w:ascii="Times New Roman" w:hAnsi="Times New Roman" w:cs="Times New Roman"/>
          <w:sz w:val="18"/>
          <w:szCs w:val="18"/>
        </w:rPr>
      </w:pPr>
    </w:p>
    <w:p w14:paraId="2A9FA928" w14:textId="77777777" w:rsidR="004A6A7F" w:rsidRDefault="004A6A7F" w:rsidP="004A6A7F">
      <w:pPr>
        <w:rPr>
          <w:rFonts w:ascii="Times New Roman" w:hAnsi="Times New Roman" w:cs="Times New Roman"/>
          <w:sz w:val="18"/>
          <w:szCs w:val="18"/>
        </w:rPr>
      </w:pPr>
    </w:p>
    <w:p w14:paraId="3BFF5BD6" w14:textId="77777777" w:rsidR="004A6A7F" w:rsidRDefault="004A6A7F" w:rsidP="004A6A7F">
      <w:pPr>
        <w:rPr>
          <w:rFonts w:ascii="Times New Roman" w:hAnsi="Times New Roman" w:cs="Times New Roman"/>
          <w:sz w:val="18"/>
          <w:szCs w:val="18"/>
        </w:rPr>
      </w:pPr>
    </w:p>
    <w:sectPr w:rsidR="004A6A7F" w:rsidSect="0066475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8B1F" w14:textId="77777777" w:rsidR="00664755" w:rsidRDefault="00664755" w:rsidP="0094191C">
      <w:r>
        <w:separator/>
      </w:r>
    </w:p>
  </w:endnote>
  <w:endnote w:type="continuationSeparator" w:id="0">
    <w:p w14:paraId="38C39C9E" w14:textId="77777777" w:rsidR="00664755" w:rsidRDefault="00664755" w:rsidP="0094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8A28" w14:textId="77777777" w:rsidR="00DB63A0" w:rsidRDefault="00DB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3D78" w14:textId="77777777" w:rsidR="00DB63A0" w:rsidRDefault="00DB6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9DC2" w14:textId="694B53EC" w:rsidR="00797431" w:rsidRPr="00797431" w:rsidRDefault="00DB63A0" w:rsidP="00797431">
    <w:pPr>
      <w:pStyle w:val="Footer"/>
      <w:rPr>
        <w:rFonts w:ascii="Times New Roman" w:hAnsi="Times New Roman" w:cs="Times New Roman"/>
        <w:sz w:val="21"/>
        <w:szCs w:val="21"/>
      </w:rPr>
    </w:pPr>
    <w:r>
      <w:rPr>
        <w:rFonts w:ascii="Times New Roman" w:hAnsi="Times New Roman" w:cs="Times New Roman"/>
        <w:sz w:val="21"/>
        <w:szCs w:val="21"/>
        <w:vertAlign w:val="superscript"/>
      </w:rPr>
      <w:t xml:space="preserve">1 </w:t>
    </w:r>
    <w:r w:rsidR="00797431" w:rsidRPr="00797431">
      <w:rPr>
        <w:rFonts w:ascii="Times New Roman" w:hAnsi="Times New Roman" w:cs="Times New Roman"/>
        <w:sz w:val="21"/>
        <w:szCs w:val="21"/>
      </w:rPr>
      <w:t>sayantani.sayantani@anderson.ucla.edu</w:t>
    </w:r>
  </w:p>
  <w:p w14:paraId="6038E608" w14:textId="77777777" w:rsidR="00797431" w:rsidRDefault="0079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A043" w14:textId="77777777" w:rsidR="00664755" w:rsidRDefault="00664755" w:rsidP="0094191C">
      <w:r>
        <w:separator/>
      </w:r>
    </w:p>
  </w:footnote>
  <w:footnote w:type="continuationSeparator" w:id="0">
    <w:p w14:paraId="6EA4A3A8" w14:textId="77777777" w:rsidR="00664755" w:rsidRDefault="00664755" w:rsidP="0094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BC0F" w14:textId="77777777" w:rsidR="00DB63A0" w:rsidRDefault="00DB6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5851" w14:textId="77777777" w:rsidR="00DB63A0" w:rsidRDefault="00DB6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CB97" w14:textId="77777777" w:rsidR="00DB63A0" w:rsidRDefault="00DB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4E19"/>
    <w:multiLevelType w:val="multilevel"/>
    <w:tmpl w:val="B79A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23EC5"/>
    <w:multiLevelType w:val="multilevel"/>
    <w:tmpl w:val="908A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62E52"/>
    <w:multiLevelType w:val="hybridMultilevel"/>
    <w:tmpl w:val="0D92E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75E21"/>
    <w:multiLevelType w:val="hybridMultilevel"/>
    <w:tmpl w:val="EAA45D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22744"/>
    <w:multiLevelType w:val="hybridMultilevel"/>
    <w:tmpl w:val="5B740B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771D51"/>
    <w:multiLevelType w:val="hybridMultilevel"/>
    <w:tmpl w:val="62E2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43E2F"/>
    <w:multiLevelType w:val="hybridMultilevel"/>
    <w:tmpl w:val="5B74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028488">
    <w:abstractNumId w:val="0"/>
  </w:num>
  <w:num w:numId="2" w16cid:durableId="593050057">
    <w:abstractNumId w:val="2"/>
  </w:num>
  <w:num w:numId="3" w16cid:durableId="442961524">
    <w:abstractNumId w:val="6"/>
  </w:num>
  <w:num w:numId="4" w16cid:durableId="1160199703">
    <w:abstractNumId w:val="3"/>
  </w:num>
  <w:num w:numId="5" w16cid:durableId="623006715">
    <w:abstractNumId w:val="4"/>
  </w:num>
  <w:num w:numId="6" w16cid:durableId="1400906441">
    <w:abstractNumId w:val="1"/>
  </w:num>
  <w:num w:numId="7" w16cid:durableId="6966658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D7"/>
    <w:rsid w:val="00002747"/>
    <w:rsid w:val="00017510"/>
    <w:rsid w:val="0002300F"/>
    <w:rsid w:val="00026AE3"/>
    <w:rsid w:val="000403B5"/>
    <w:rsid w:val="00055B78"/>
    <w:rsid w:val="0006630D"/>
    <w:rsid w:val="00074D16"/>
    <w:rsid w:val="000D3F4E"/>
    <w:rsid w:val="000F5BE0"/>
    <w:rsid w:val="00117113"/>
    <w:rsid w:val="0014225B"/>
    <w:rsid w:val="001B6198"/>
    <w:rsid w:val="001E4232"/>
    <w:rsid w:val="001F1A5B"/>
    <w:rsid w:val="00227DCF"/>
    <w:rsid w:val="002314F0"/>
    <w:rsid w:val="00242651"/>
    <w:rsid w:val="00270197"/>
    <w:rsid w:val="002A49B8"/>
    <w:rsid w:val="002F60EB"/>
    <w:rsid w:val="003112D7"/>
    <w:rsid w:val="00341F69"/>
    <w:rsid w:val="00383FDB"/>
    <w:rsid w:val="003D2787"/>
    <w:rsid w:val="003F307D"/>
    <w:rsid w:val="004061C3"/>
    <w:rsid w:val="004134B5"/>
    <w:rsid w:val="004339FC"/>
    <w:rsid w:val="004415E4"/>
    <w:rsid w:val="004416BD"/>
    <w:rsid w:val="00453063"/>
    <w:rsid w:val="004845AF"/>
    <w:rsid w:val="0048605B"/>
    <w:rsid w:val="00490442"/>
    <w:rsid w:val="004925E1"/>
    <w:rsid w:val="004A6A7F"/>
    <w:rsid w:val="004E2408"/>
    <w:rsid w:val="004F4990"/>
    <w:rsid w:val="004F639A"/>
    <w:rsid w:val="0052253D"/>
    <w:rsid w:val="0052672B"/>
    <w:rsid w:val="00582F76"/>
    <w:rsid w:val="0059532D"/>
    <w:rsid w:val="005E6DC3"/>
    <w:rsid w:val="006034D5"/>
    <w:rsid w:val="00606485"/>
    <w:rsid w:val="00624B61"/>
    <w:rsid w:val="00626C0B"/>
    <w:rsid w:val="00664755"/>
    <w:rsid w:val="0067122B"/>
    <w:rsid w:val="006733A5"/>
    <w:rsid w:val="00682EC7"/>
    <w:rsid w:val="00687DCA"/>
    <w:rsid w:val="00691A38"/>
    <w:rsid w:val="006B2130"/>
    <w:rsid w:val="006E0715"/>
    <w:rsid w:val="0070159A"/>
    <w:rsid w:val="00707156"/>
    <w:rsid w:val="00725B3B"/>
    <w:rsid w:val="00757A0A"/>
    <w:rsid w:val="00797431"/>
    <w:rsid w:val="007A7ABE"/>
    <w:rsid w:val="007D1FBF"/>
    <w:rsid w:val="00800817"/>
    <w:rsid w:val="0085275C"/>
    <w:rsid w:val="008550BA"/>
    <w:rsid w:val="008606F4"/>
    <w:rsid w:val="00871C2C"/>
    <w:rsid w:val="00872D06"/>
    <w:rsid w:val="008E4132"/>
    <w:rsid w:val="008F109E"/>
    <w:rsid w:val="0092327A"/>
    <w:rsid w:val="0094191C"/>
    <w:rsid w:val="009556BD"/>
    <w:rsid w:val="0096103E"/>
    <w:rsid w:val="009A2DDB"/>
    <w:rsid w:val="009C53A5"/>
    <w:rsid w:val="009E0FC1"/>
    <w:rsid w:val="00A17507"/>
    <w:rsid w:val="00A30CF8"/>
    <w:rsid w:val="00A4052D"/>
    <w:rsid w:val="00A44C3A"/>
    <w:rsid w:val="00A77A42"/>
    <w:rsid w:val="00AD0197"/>
    <w:rsid w:val="00AD6F50"/>
    <w:rsid w:val="00AF71CC"/>
    <w:rsid w:val="00B05812"/>
    <w:rsid w:val="00BA2B92"/>
    <w:rsid w:val="00BC219B"/>
    <w:rsid w:val="00BF128B"/>
    <w:rsid w:val="00C268FB"/>
    <w:rsid w:val="00C75E7D"/>
    <w:rsid w:val="00CB1248"/>
    <w:rsid w:val="00D03DFE"/>
    <w:rsid w:val="00D426C4"/>
    <w:rsid w:val="00D62AAA"/>
    <w:rsid w:val="00D70CBE"/>
    <w:rsid w:val="00D902ED"/>
    <w:rsid w:val="00D978E3"/>
    <w:rsid w:val="00DA456E"/>
    <w:rsid w:val="00DA6A0A"/>
    <w:rsid w:val="00DB63A0"/>
    <w:rsid w:val="00DB7BFC"/>
    <w:rsid w:val="00E25EED"/>
    <w:rsid w:val="00E26295"/>
    <w:rsid w:val="00E37AF0"/>
    <w:rsid w:val="00E83FA0"/>
    <w:rsid w:val="00E907C1"/>
    <w:rsid w:val="00EA0AEA"/>
    <w:rsid w:val="00EE4168"/>
    <w:rsid w:val="00F13B95"/>
    <w:rsid w:val="00F27009"/>
    <w:rsid w:val="00F621AD"/>
    <w:rsid w:val="00F8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C7A3"/>
  <w15:chartTrackingRefBased/>
  <w15:docId w15:val="{2EFF9DA5-401F-FC4B-B79C-A86ADA44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2D7"/>
    <w:rPr>
      <w:color w:val="0563C1" w:themeColor="hyperlink"/>
      <w:u w:val="single"/>
    </w:rPr>
  </w:style>
  <w:style w:type="character" w:styleId="UnresolvedMention">
    <w:name w:val="Unresolved Mention"/>
    <w:basedOn w:val="DefaultParagraphFont"/>
    <w:uiPriority w:val="99"/>
    <w:semiHidden/>
    <w:unhideWhenUsed/>
    <w:rsid w:val="003112D7"/>
    <w:rPr>
      <w:color w:val="605E5C"/>
      <w:shd w:val="clear" w:color="auto" w:fill="E1DFDD"/>
    </w:rPr>
  </w:style>
  <w:style w:type="paragraph" w:styleId="NormalWeb">
    <w:name w:val="Normal (Web)"/>
    <w:basedOn w:val="Normal"/>
    <w:uiPriority w:val="99"/>
    <w:unhideWhenUsed/>
    <w:rsid w:val="003112D7"/>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624B61"/>
    <w:pPr>
      <w:ind w:left="720"/>
      <w:contextualSpacing/>
    </w:pPr>
  </w:style>
  <w:style w:type="paragraph" w:styleId="Header">
    <w:name w:val="header"/>
    <w:basedOn w:val="Normal"/>
    <w:link w:val="HeaderChar"/>
    <w:uiPriority w:val="99"/>
    <w:unhideWhenUsed/>
    <w:rsid w:val="0094191C"/>
    <w:pPr>
      <w:tabs>
        <w:tab w:val="center" w:pos="4680"/>
        <w:tab w:val="right" w:pos="9360"/>
      </w:tabs>
    </w:pPr>
  </w:style>
  <w:style w:type="character" w:customStyle="1" w:styleId="HeaderChar">
    <w:name w:val="Header Char"/>
    <w:basedOn w:val="DefaultParagraphFont"/>
    <w:link w:val="Header"/>
    <w:uiPriority w:val="99"/>
    <w:rsid w:val="0094191C"/>
  </w:style>
  <w:style w:type="paragraph" w:styleId="Footer">
    <w:name w:val="footer"/>
    <w:basedOn w:val="Normal"/>
    <w:link w:val="FooterChar"/>
    <w:uiPriority w:val="99"/>
    <w:unhideWhenUsed/>
    <w:rsid w:val="0094191C"/>
    <w:pPr>
      <w:tabs>
        <w:tab w:val="center" w:pos="4680"/>
        <w:tab w:val="right" w:pos="9360"/>
      </w:tabs>
    </w:pPr>
  </w:style>
  <w:style w:type="character" w:customStyle="1" w:styleId="FooterChar">
    <w:name w:val="Footer Char"/>
    <w:basedOn w:val="DefaultParagraphFont"/>
    <w:link w:val="Footer"/>
    <w:uiPriority w:val="99"/>
    <w:rsid w:val="0094191C"/>
  </w:style>
  <w:style w:type="table" w:styleId="TableGrid">
    <w:name w:val="Table Grid"/>
    <w:basedOn w:val="TableNormal"/>
    <w:uiPriority w:val="39"/>
    <w:rsid w:val="0085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
    <w:name w:val="Grid Table 7 Colorful"/>
    <w:basedOn w:val="TableNormal"/>
    <w:uiPriority w:val="52"/>
    <w:rsid w:val="001422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3">
    <w:name w:val="List Table 6 Colorful Accent 3"/>
    <w:basedOn w:val="TableNormal"/>
    <w:uiPriority w:val="51"/>
    <w:rsid w:val="0014225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14225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C268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268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268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268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77A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77A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A77A4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E4132"/>
    <w:rPr>
      <w:sz w:val="16"/>
      <w:szCs w:val="16"/>
    </w:rPr>
  </w:style>
  <w:style w:type="paragraph" w:styleId="CommentText">
    <w:name w:val="annotation text"/>
    <w:basedOn w:val="Normal"/>
    <w:link w:val="CommentTextChar"/>
    <w:uiPriority w:val="99"/>
    <w:unhideWhenUsed/>
    <w:rsid w:val="008E4132"/>
    <w:rPr>
      <w:sz w:val="20"/>
      <w:szCs w:val="20"/>
    </w:rPr>
  </w:style>
  <w:style w:type="character" w:customStyle="1" w:styleId="CommentTextChar">
    <w:name w:val="Comment Text Char"/>
    <w:basedOn w:val="DefaultParagraphFont"/>
    <w:link w:val="CommentText"/>
    <w:uiPriority w:val="99"/>
    <w:rsid w:val="008E4132"/>
    <w:rPr>
      <w:sz w:val="20"/>
      <w:szCs w:val="20"/>
    </w:rPr>
  </w:style>
  <w:style w:type="character" w:styleId="Strong">
    <w:name w:val="Strong"/>
    <w:basedOn w:val="DefaultParagraphFont"/>
    <w:uiPriority w:val="22"/>
    <w:qFormat/>
    <w:rsid w:val="00EE4168"/>
    <w:rPr>
      <w:b/>
      <w:bCs/>
    </w:rPr>
  </w:style>
  <w:style w:type="paragraph" w:styleId="Caption">
    <w:name w:val="caption"/>
    <w:basedOn w:val="Normal"/>
    <w:next w:val="Normal"/>
    <w:uiPriority w:val="35"/>
    <w:unhideWhenUsed/>
    <w:qFormat/>
    <w:rsid w:val="004E240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5445">
      <w:bodyDiv w:val="1"/>
      <w:marLeft w:val="0"/>
      <w:marRight w:val="0"/>
      <w:marTop w:val="0"/>
      <w:marBottom w:val="0"/>
      <w:divBdr>
        <w:top w:val="none" w:sz="0" w:space="0" w:color="auto"/>
        <w:left w:val="none" w:sz="0" w:space="0" w:color="auto"/>
        <w:bottom w:val="none" w:sz="0" w:space="0" w:color="auto"/>
        <w:right w:val="none" w:sz="0" w:space="0" w:color="auto"/>
      </w:divBdr>
    </w:div>
    <w:div w:id="120733117">
      <w:bodyDiv w:val="1"/>
      <w:marLeft w:val="0"/>
      <w:marRight w:val="0"/>
      <w:marTop w:val="0"/>
      <w:marBottom w:val="0"/>
      <w:divBdr>
        <w:top w:val="none" w:sz="0" w:space="0" w:color="auto"/>
        <w:left w:val="none" w:sz="0" w:space="0" w:color="auto"/>
        <w:bottom w:val="none" w:sz="0" w:space="0" w:color="auto"/>
        <w:right w:val="none" w:sz="0" w:space="0" w:color="auto"/>
      </w:divBdr>
    </w:div>
    <w:div w:id="137646857">
      <w:bodyDiv w:val="1"/>
      <w:marLeft w:val="0"/>
      <w:marRight w:val="0"/>
      <w:marTop w:val="0"/>
      <w:marBottom w:val="0"/>
      <w:divBdr>
        <w:top w:val="none" w:sz="0" w:space="0" w:color="auto"/>
        <w:left w:val="none" w:sz="0" w:space="0" w:color="auto"/>
        <w:bottom w:val="none" w:sz="0" w:space="0" w:color="auto"/>
        <w:right w:val="none" w:sz="0" w:space="0" w:color="auto"/>
      </w:divBdr>
    </w:div>
    <w:div w:id="158159664">
      <w:bodyDiv w:val="1"/>
      <w:marLeft w:val="0"/>
      <w:marRight w:val="0"/>
      <w:marTop w:val="0"/>
      <w:marBottom w:val="0"/>
      <w:divBdr>
        <w:top w:val="none" w:sz="0" w:space="0" w:color="auto"/>
        <w:left w:val="none" w:sz="0" w:space="0" w:color="auto"/>
        <w:bottom w:val="none" w:sz="0" w:space="0" w:color="auto"/>
        <w:right w:val="none" w:sz="0" w:space="0" w:color="auto"/>
      </w:divBdr>
    </w:div>
    <w:div w:id="230770224">
      <w:bodyDiv w:val="1"/>
      <w:marLeft w:val="0"/>
      <w:marRight w:val="0"/>
      <w:marTop w:val="0"/>
      <w:marBottom w:val="0"/>
      <w:divBdr>
        <w:top w:val="none" w:sz="0" w:space="0" w:color="auto"/>
        <w:left w:val="none" w:sz="0" w:space="0" w:color="auto"/>
        <w:bottom w:val="none" w:sz="0" w:space="0" w:color="auto"/>
        <w:right w:val="none" w:sz="0" w:space="0" w:color="auto"/>
      </w:divBdr>
    </w:div>
    <w:div w:id="247661564">
      <w:bodyDiv w:val="1"/>
      <w:marLeft w:val="0"/>
      <w:marRight w:val="0"/>
      <w:marTop w:val="0"/>
      <w:marBottom w:val="0"/>
      <w:divBdr>
        <w:top w:val="none" w:sz="0" w:space="0" w:color="auto"/>
        <w:left w:val="none" w:sz="0" w:space="0" w:color="auto"/>
        <w:bottom w:val="none" w:sz="0" w:space="0" w:color="auto"/>
        <w:right w:val="none" w:sz="0" w:space="0" w:color="auto"/>
      </w:divBdr>
    </w:div>
    <w:div w:id="344940196">
      <w:bodyDiv w:val="1"/>
      <w:marLeft w:val="0"/>
      <w:marRight w:val="0"/>
      <w:marTop w:val="0"/>
      <w:marBottom w:val="0"/>
      <w:divBdr>
        <w:top w:val="none" w:sz="0" w:space="0" w:color="auto"/>
        <w:left w:val="none" w:sz="0" w:space="0" w:color="auto"/>
        <w:bottom w:val="none" w:sz="0" w:space="0" w:color="auto"/>
        <w:right w:val="none" w:sz="0" w:space="0" w:color="auto"/>
      </w:divBdr>
    </w:div>
    <w:div w:id="405998152">
      <w:bodyDiv w:val="1"/>
      <w:marLeft w:val="0"/>
      <w:marRight w:val="0"/>
      <w:marTop w:val="0"/>
      <w:marBottom w:val="0"/>
      <w:divBdr>
        <w:top w:val="none" w:sz="0" w:space="0" w:color="auto"/>
        <w:left w:val="none" w:sz="0" w:space="0" w:color="auto"/>
        <w:bottom w:val="none" w:sz="0" w:space="0" w:color="auto"/>
        <w:right w:val="none" w:sz="0" w:space="0" w:color="auto"/>
      </w:divBdr>
    </w:div>
    <w:div w:id="459685010">
      <w:bodyDiv w:val="1"/>
      <w:marLeft w:val="0"/>
      <w:marRight w:val="0"/>
      <w:marTop w:val="0"/>
      <w:marBottom w:val="0"/>
      <w:divBdr>
        <w:top w:val="none" w:sz="0" w:space="0" w:color="auto"/>
        <w:left w:val="none" w:sz="0" w:space="0" w:color="auto"/>
        <w:bottom w:val="none" w:sz="0" w:space="0" w:color="auto"/>
        <w:right w:val="none" w:sz="0" w:space="0" w:color="auto"/>
      </w:divBdr>
    </w:div>
    <w:div w:id="463542059">
      <w:bodyDiv w:val="1"/>
      <w:marLeft w:val="0"/>
      <w:marRight w:val="0"/>
      <w:marTop w:val="0"/>
      <w:marBottom w:val="0"/>
      <w:divBdr>
        <w:top w:val="none" w:sz="0" w:space="0" w:color="auto"/>
        <w:left w:val="none" w:sz="0" w:space="0" w:color="auto"/>
        <w:bottom w:val="none" w:sz="0" w:space="0" w:color="auto"/>
        <w:right w:val="none" w:sz="0" w:space="0" w:color="auto"/>
      </w:divBdr>
    </w:div>
    <w:div w:id="507597516">
      <w:bodyDiv w:val="1"/>
      <w:marLeft w:val="0"/>
      <w:marRight w:val="0"/>
      <w:marTop w:val="0"/>
      <w:marBottom w:val="0"/>
      <w:divBdr>
        <w:top w:val="none" w:sz="0" w:space="0" w:color="auto"/>
        <w:left w:val="none" w:sz="0" w:space="0" w:color="auto"/>
        <w:bottom w:val="none" w:sz="0" w:space="0" w:color="auto"/>
        <w:right w:val="none" w:sz="0" w:space="0" w:color="auto"/>
      </w:divBdr>
    </w:div>
    <w:div w:id="534192791">
      <w:bodyDiv w:val="1"/>
      <w:marLeft w:val="0"/>
      <w:marRight w:val="0"/>
      <w:marTop w:val="0"/>
      <w:marBottom w:val="0"/>
      <w:divBdr>
        <w:top w:val="none" w:sz="0" w:space="0" w:color="auto"/>
        <w:left w:val="none" w:sz="0" w:space="0" w:color="auto"/>
        <w:bottom w:val="none" w:sz="0" w:space="0" w:color="auto"/>
        <w:right w:val="none" w:sz="0" w:space="0" w:color="auto"/>
      </w:divBdr>
    </w:div>
    <w:div w:id="535897405">
      <w:bodyDiv w:val="1"/>
      <w:marLeft w:val="0"/>
      <w:marRight w:val="0"/>
      <w:marTop w:val="0"/>
      <w:marBottom w:val="0"/>
      <w:divBdr>
        <w:top w:val="none" w:sz="0" w:space="0" w:color="auto"/>
        <w:left w:val="none" w:sz="0" w:space="0" w:color="auto"/>
        <w:bottom w:val="none" w:sz="0" w:space="0" w:color="auto"/>
        <w:right w:val="none" w:sz="0" w:space="0" w:color="auto"/>
      </w:divBdr>
    </w:div>
    <w:div w:id="582419576">
      <w:bodyDiv w:val="1"/>
      <w:marLeft w:val="0"/>
      <w:marRight w:val="0"/>
      <w:marTop w:val="0"/>
      <w:marBottom w:val="0"/>
      <w:divBdr>
        <w:top w:val="none" w:sz="0" w:space="0" w:color="auto"/>
        <w:left w:val="none" w:sz="0" w:space="0" w:color="auto"/>
        <w:bottom w:val="none" w:sz="0" w:space="0" w:color="auto"/>
        <w:right w:val="none" w:sz="0" w:space="0" w:color="auto"/>
      </w:divBdr>
    </w:div>
    <w:div w:id="651955467">
      <w:bodyDiv w:val="1"/>
      <w:marLeft w:val="0"/>
      <w:marRight w:val="0"/>
      <w:marTop w:val="0"/>
      <w:marBottom w:val="0"/>
      <w:divBdr>
        <w:top w:val="none" w:sz="0" w:space="0" w:color="auto"/>
        <w:left w:val="none" w:sz="0" w:space="0" w:color="auto"/>
        <w:bottom w:val="none" w:sz="0" w:space="0" w:color="auto"/>
        <w:right w:val="none" w:sz="0" w:space="0" w:color="auto"/>
      </w:divBdr>
    </w:div>
    <w:div w:id="692417171">
      <w:bodyDiv w:val="1"/>
      <w:marLeft w:val="0"/>
      <w:marRight w:val="0"/>
      <w:marTop w:val="0"/>
      <w:marBottom w:val="0"/>
      <w:divBdr>
        <w:top w:val="none" w:sz="0" w:space="0" w:color="auto"/>
        <w:left w:val="none" w:sz="0" w:space="0" w:color="auto"/>
        <w:bottom w:val="none" w:sz="0" w:space="0" w:color="auto"/>
        <w:right w:val="none" w:sz="0" w:space="0" w:color="auto"/>
      </w:divBdr>
    </w:div>
    <w:div w:id="710111724">
      <w:bodyDiv w:val="1"/>
      <w:marLeft w:val="0"/>
      <w:marRight w:val="0"/>
      <w:marTop w:val="0"/>
      <w:marBottom w:val="0"/>
      <w:divBdr>
        <w:top w:val="none" w:sz="0" w:space="0" w:color="auto"/>
        <w:left w:val="none" w:sz="0" w:space="0" w:color="auto"/>
        <w:bottom w:val="none" w:sz="0" w:space="0" w:color="auto"/>
        <w:right w:val="none" w:sz="0" w:space="0" w:color="auto"/>
      </w:divBdr>
    </w:div>
    <w:div w:id="814224009">
      <w:bodyDiv w:val="1"/>
      <w:marLeft w:val="0"/>
      <w:marRight w:val="0"/>
      <w:marTop w:val="0"/>
      <w:marBottom w:val="0"/>
      <w:divBdr>
        <w:top w:val="none" w:sz="0" w:space="0" w:color="auto"/>
        <w:left w:val="none" w:sz="0" w:space="0" w:color="auto"/>
        <w:bottom w:val="none" w:sz="0" w:space="0" w:color="auto"/>
        <w:right w:val="none" w:sz="0" w:space="0" w:color="auto"/>
      </w:divBdr>
    </w:div>
    <w:div w:id="820191151">
      <w:bodyDiv w:val="1"/>
      <w:marLeft w:val="0"/>
      <w:marRight w:val="0"/>
      <w:marTop w:val="0"/>
      <w:marBottom w:val="0"/>
      <w:divBdr>
        <w:top w:val="none" w:sz="0" w:space="0" w:color="auto"/>
        <w:left w:val="none" w:sz="0" w:space="0" w:color="auto"/>
        <w:bottom w:val="none" w:sz="0" w:space="0" w:color="auto"/>
        <w:right w:val="none" w:sz="0" w:space="0" w:color="auto"/>
      </w:divBdr>
    </w:div>
    <w:div w:id="840659189">
      <w:bodyDiv w:val="1"/>
      <w:marLeft w:val="0"/>
      <w:marRight w:val="0"/>
      <w:marTop w:val="0"/>
      <w:marBottom w:val="0"/>
      <w:divBdr>
        <w:top w:val="none" w:sz="0" w:space="0" w:color="auto"/>
        <w:left w:val="none" w:sz="0" w:space="0" w:color="auto"/>
        <w:bottom w:val="none" w:sz="0" w:space="0" w:color="auto"/>
        <w:right w:val="none" w:sz="0" w:space="0" w:color="auto"/>
      </w:divBdr>
    </w:div>
    <w:div w:id="843395396">
      <w:bodyDiv w:val="1"/>
      <w:marLeft w:val="0"/>
      <w:marRight w:val="0"/>
      <w:marTop w:val="0"/>
      <w:marBottom w:val="0"/>
      <w:divBdr>
        <w:top w:val="none" w:sz="0" w:space="0" w:color="auto"/>
        <w:left w:val="none" w:sz="0" w:space="0" w:color="auto"/>
        <w:bottom w:val="none" w:sz="0" w:space="0" w:color="auto"/>
        <w:right w:val="none" w:sz="0" w:space="0" w:color="auto"/>
      </w:divBdr>
    </w:div>
    <w:div w:id="916019854">
      <w:bodyDiv w:val="1"/>
      <w:marLeft w:val="0"/>
      <w:marRight w:val="0"/>
      <w:marTop w:val="0"/>
      <w:marBottom w:val="0"/>
      <w:divBdr>
        <w:top w:val="none" w:sz="0" w:space="0" w:color="auto"/>
        <w:left w:val="none" w:sz="0" w:space="0" w:color="auto"/>
        <w:bottom w:val="none" w:sz="0" w:space="0" w:color="auto"/>
        <w:right w:val="none" w:sz="0" w:space="0" w:color="auto"/>
      </w:divBdr>
    </w:div>
    <w:div w:id="959337020">
      <w:bodyDiv w:val="1"/>
      <w:marLeft w:val="0"/>
      <w:marRight w:val="0"/>
      <w:marTop w:val="0"/>
      <w:marBottom w:val="0"/>
      <w:divBdr>
        <w:top w:val="none" w:sz="0" w:space="0" w:color="auto"/>
        <w:left w:val="none" w:sz="0" w:space="0" w:color="auto"/>
        <w:bottom w:val="none" w:sz="0" w:space="0" w:color="auto"/>
        <w:right w:val="none" w:sz="0" w:space="0" w:color="auto"/>
      </w:divBdr>
    </w:div>
    <w:div w:id="1047796322">
      <w:bodyDiv w:val="1"/>
      <w:marLeft w:val="0"/>
      <w:marRight w:val="0"/>
      <w:marTop w:val="0"/>
      <w:marBottom w:val="0"/>
      <w:divBdr>
        <w:top w:val="none" w:sz="0" w:space="0" w:color="auto"/>
        <w:left w:val="none" w:sz="0" w:space="0" w:color="auto"/>
        <w:bottom w:val="none" w:sz="0" w:space="0" w:color="auto"/>
        <w:right w:val="none" w:sz="0" w:space="0" w:color="auto"/>
      </w:divBdr>
    </w:div>
    <w:div w:id="1072121316">
      <w:bodyDiv w:val="1"/>
      <w:marLeft w:val="0"/>
      <w:marRight w:val="0"/>
      <w:marTop w:val="0"/>
      <w:marBottom w:val="0"/>
      <w:divBdr>
        <w:top w:val="none" w:sz="0" w:space="0" w:color="auto"/>
        <w:left w:val="none" w:sz="0" w:space="0" w:color="auto"/>
        <w:bottom w:val="none" w:sz="0" w:space="0" w:color="auto"/>
        <w:right w:val="none" w:sz="0" w:space="0" w:color="auto"/>
      </w:divBdr>
    </w:div>
    <w:div w:id="1145851168">
      <w:bodyDiv w:val="1"/>
      <w:marLeft w:val="0"/>
      <w:marRight w:val="0"/>
      <w:marTop w:val="0"/>
      <w:marBottom w:val="0"/>
      <w:divBdr>
        <w:top w:val="none" w:sz="0" w:space="0" w:color="auto"/>
        <w:left w:val="none" w:sz="0" w:space="0" w:color="auto"/>
        <w:bottom w:val="none" w:sz="0" w:space="0" w:color="auto"/>
        <w:right w:val="none" w:sz="0" w:space="0" w:color="auto"/>
      </w:divBdr>
    </w:div>
    <w:div w:id="1150564135">
      <w:bodyDiv w:val="1"/>
      <w:marLeft w:val="0"/>
      <w:marRight w:val="0"/>
      <w:marTop w:val="0"/>
      <w:marBottom w:val="0"/>
      <w:divBdr>
        <w:top w:val="none" w:sz="0" w:space="0" w:color="auto"/>
        <w:left w:val="none" w:sz="0" w:space="0" w:color="auto"/>
        <w:bottom w:val="none" w:sz="0" w:space="0" w:color="auto"/>
        <w:right w:val="none" w:sz="0" w:space="0" w:color="auto"/>
      </w:divBdr>
    </w:div>
    <w:div w:id="1186479345">
      <w:bodyDiv w:val="1"/>
      <w:marLeft w:val="0"/>
      <w:marRight w:val="0"/>
      <w:marTop w:val="0"/>
      <w:marBottom w:val="0"/>
      <w:divBdr>
        <w:top w:val="none" w:sz="0" w:space="0" w:color="auto"/>
        <w:left w:val="none" w:sz="0" w:space="0" w:color="auto"/>
        <w:bottom w:val="none" w:sz="0" w:space="0" w:color="auto"/>
        <w:right w:val="none" w:sz="0" w:space="0" w:color="auto"/>
      </w:divBdr>
    </w:div>
    <w:div w:id="1218932972">
      <w:bodyDiv w:val="1"/>
      <w:marLeft w:val="0"/>
      <w:marRight w:val="0"/>
      <w:marTop w:val="0"/>
      <w:marBottom w:val="0"/>
      <w:divBdr>
        <w:top w:val="none" w:sz="0" w:space="0" w:color="auto"/>
        <w:left w:val="none" w:sz="0" w:space="0" w:color="auto"/>
        <w:bottom w:val="none" w:sz="0" w:space="0" w:color="auto"/>
        <w:right w:val="none" w:sz="0" w:space="0" w:color="auto"/>
      </w:divBdr>
    </w:div>
    <w:div w:id="1289703524">
      <w:bodyDiv w:val="1"/>
      <w:marLeft w:val="0"/>
      <w:marRight w:val="0"/>
      <w:marTop w:val="0"/>
      <w:marBottom w:val="0"/>
      <w:divBdr>
        <w:top w:val="none" w:sz="0" w:space="0" w:color="auto"/>
        <w:left w:val="none" w:sz="0" w:space="0" w:color="auto"/>
        <w:bottom w:val="none" w:sz="0" w:space="0" w:color="auto"/>
        <w:right w:val="none" w:sz="0" w:space="0" w:color="auto"/>
      </w:divBdr>
    </w:div>
    <w:div w:id="1296330343">
      <w:bodyDiv w:val="1"/>
      <w:marLeft w:val="0"/>
      <w:marRight w:val="0"/>
      <w:marTop w:val="0"/>
      <w:marBottom w:val="0"/>
      <w:divBdr>
        <w:top w:val="none" w:sz="0" w:space="0" w:color="auto"/>
        <w:left w:val="none" w:sz="0" w:space="0" w:color="auto"/>
        <w:bottom w:val="none" w:sz="0" w:space="0" w:color="auto"/>
        <w:right w:val="none" w:sz="0" w:space="0" w:color="auto"/>
      </w:divBdr>
    </w:div>
    <w:div w:id="1357384320">
      <w:bodyDiv w:val="1"/>
      <w:marLeft w:val="0"/>
      <w:marRight w:val="0"/>
      <w:marTop w:val="0"/>
      <w:marBottom w:val="0"/>
      <w:divBdr>
        <w:top w:val="none" w:sz="0" w:space="0" w:color="auto"/>
        <w:left w:val="none" w:sz="0" w:space="0" w:color="auto"/>
        <w:bottom w:val="none" w:sz="0" w:space="0" w:color="auto"/>
        <w:right w:val="none" w:sz="0" w:space="0" w:color="auto"/>
      </w:divBdr>
    </w:div>
    <w:div w:id="1409766570">
      <w:bodyDiv w:val="1"/>
      <w:marLeft w:val="0"/>
      <w:marRight w:val="0"/>
      <w:marTop w:val="0"/>
      <w:marBottom w:val="0"/>
      <w:divBdr>
        <w:top w:val="none" w:sz="0" w:space="0" w:color="auto"/>
        <w:left w:val="none" w:sz="0" w:space="0" w:color="auto"/>
        <w:bottom w:val="none" w:sz="0" w:space="0" w:color="auto"/>
        <w:right w:val="none" w:sz="0" w:space="0" w:color="auto"/>
      </w:divBdr>
    </w:div>
    <w:div w:id="1453476204">
      <w:bodyDiv w:val="1"/>
      <w:marLeft w:val="0"/>
      <w:marRight w:val="0"/>
      <w:marTop w:val="0"/>
      <w:marBottom w:val="0"/>
      <w:divBdr>
        <w:top w:val="none" w:sz="0" w:space="0" w:color="auto"/>
        <w:left w:val="none" w:sz="0" w:space="0" w:color="auto"/>
        <w:bottom w:val="none" w:sz="0" w:space="0" w:color="auto"/>
        <w:right w:val="none" w:sz="0" w:space="0" w:color="auto"/>
      </w:divBdr>
    </w:div>
    <w:div w:id="1530142447">
      <w:bodyDiv w:val="1"/>
      <w:marLeft w:val="0"/>
      <w:marRight w:val="0"/>
      <w:marTop w:val="0"/>
      <w:marBottom w:val="0"/>
      <w:divBdr>
        <w:top w:val="none" w:sz="0" w:space="0" w:color="auto"/>
        <w:left w:val="none" w:sz="0" w:space="0" w:color="auto"/>
        <w:bottom w:val="none" w:sz="0" w:space="0" w:color="auto"/>
        <w:right w:val="none" w:sz="0" w:space="0" w:color="auto"/>
      </w:divBdr>
    </w:div>
    <w:div w:id="1562785323">
      <w:bodyDiv w:val="1"/>
      <w:marLeft w:val="0"/>
      <w:marRight w:val="0"/>
      <w:marTop w:val="0"/>
      <w:marBottom w:val="0"/>
      <w:divBdr>
        <w:top w:val="none" w:sz="0" w:space="0" w:color="auto"/>
        <w:left w:val="none" w:sz="0" w:space="0" w:color="auto"/>
        <w:bottom w:val="none" w:sz="0" w:space="0" w:color="auto"/>
        <w:right w:val="none" w:sz="0" w:space="0" w:color="auto"/>
      </w:divBdr>
    </w:div>
    <w:div w:id="1597668561">
      <w:bodyDiv w:val="1"/>
      <w:marLeft w:val="0"/>
      <w:marRight w:val="0"/>
      <w:marTop w:val="0"/>
      <w:marBottom w:val="0"/>
      <w:divBdr>
        <w:top w:val="none" w:sz="0" w:space="0" w:color="auto"/>
        <w:left w:val="none" w:sz="0" w:space="0" w:color="auto"/>
        <w:bottom w:val="none" w:sz="0" w:space="0" w:color="auto"/>
        <w:right w:val="none" w:sz="0" w:space="0" w:color="auto"/>
      </w:divBdr>
    </w:div>
    <w:div w:id="1726180099">
      <w:bodyDiv w:val="1"/>
      <w:marLeft w:val="0"/>
      <w:marRight w:val="0"/>
      <w:marTop w:val="0"/>
      <w:marBottom w:val="0"/>
      <w:divBdr>
        <w:top w:val="none" w:sz="0" w:space="0" w:color="auto"/>
        <w:left w:val="none" w:sz="0" w:space="0" w:color="auto"/>
        <w:bottom w:val="none" w:sz="0" w:space="0" w:color="auto"/>
        <w:right w:val="none" w:sz="0" w:space="0" w:color="auto"/>
      </w:divBdr>
    </w:div>
    <w:div w:id="1744599084">
      <w:bodyDiv w:val="1"/>
      <w:marLeft w:val="0"/>
      <w:marRight w:val="0"/>
      <w:marTop w:val="0"/>
      <w:marBottom w:val="0"/>
      <w:divBdr>
        <w:top w:val="none" w:sz="0" w:space="0" w:color="auto"/>
        <w:left w:val="none" w:sz="0" w:space="0" w:color="auto"/>
        <w:bottom w:val="none" w:sz="0" w:space="0" w:color="auto"/>
        <w:right w:val="none" w:sz="0" w:space="0" w:color="auto"/>
      </w:divBdr>
    </w:div>
    <w:div w:id="1748074357">
      <w:bodyDiv w:val="1"/>
      <w:marLeft w:val="0"/>
      <w:marRight w:val="0"/>
      <w:marTop w:val="0"/>
      <w:marBottom w:val="0"/>
      <w:divBdr>
        <w:top w:val="none" w:sz="0" w:space="0" w:color="auto"/>
        <w:left w:val="none" w:sz="0" w:space="0" w:color="auto"/>
        <w:bottom w:val="none" w:sz="0" w:space="0" w:color="auto"/>
        <w:right w:val="none" w:sz="0" w:space="0" w:color="auto"/>
      </w:divBdr>
    </w:div>
    <w:div w:id="1817643735">
      <w:bodyDiv w:val="1"/>
      <w:marLeft w:val="0"/>
      <w:marRight w:val="0"/>
      <w:marTop w:val="0"/>
      <w:marBottom w:val="0"/>
      <w:divBdr>
        <w:top w:val="none" w:sz="0" w:space="0" w:color="auto"/>
        <w:left w:val="none" w:sz="0" w:space="0" w:color="auto"/>
        <w:bottom w:val="none" w:sz="0" w:space="0" w:color="auto"/>
        <w:right w:val="none" w:sz="0" w:space="0" w:color="auto"/>
      </w:divBdr>
    </w:div>
    <w:div w:id="1828937935">
      <w:bodyDiv w:val="1"/>
      <w:marLeft w:val="0"/>
      <w:marRight w:val="0"/>
      <w:marTop w:val="0"/>
      <w:marBottom w:val="0"/>
      <w:divBdr>
        <w:top w:val="none" w:sz="0" w:space="0" w:color="auto"/>
        <w:left w:val="none" w:sz="0" w:space="0" w:color="auto"/>
        <w:bottom w:val="none" w:sz="0" w:space="0" w:color="auto"/>
        <w:right w:val="none" w:sz="0" w:space="0" w:color="auto"/>
      </w:divBdr>
    </w:div>
    <w:div w:id="1829324106">
      <w:bodyDiv w:val="1"/>
      <w:marLeft w:val="0"/>
      <w:marRight w:val="0"/>
      <w:marTop w:val="0"/>
      <w:marBottom w:val="0"/>
      <w:divBdr>
        <w:top w:val="none" w:sz="0" w:space="0" w:color="auto"/>
        <w:left w:val="none" w:sz="0" w:space="0" w:color="auto"/>
        <w:bottom w:val="none" w:sz="0" w:space="0" w:color="auto"/>
        <w:right w:val="none" w:sz="0" w:space="0" w:color="auto"/>
      </w:divBdr>
    </w:div>
    <w:div w:id="1868828672">
      <w:bodyDiv w:val="1"/>
      <w:marLeft w:val="0"/>
      <w:marRight w:val="0"/>
      <w:marTop w:val="0"/>
      <w:marBottom w:val="0"/>
      <w:divBdr>
        <w:top w:val="none" w:sz="0" w:space="0" w:color="auto"/>
        <w:left w:val="none" w:sz="0" w:space="0" w:color="auto"/>
        <w:bottom w:val="none" w:sz="0" w:space="0" w:color="auto"/>
        <w:right w:val="none" w:sz="0" w:space="0" w:color="auto"/>
      </w:divBdr>
    </w:div>
    <w:div w:id="1891646712">
      <w:bodyDiv w:val="1"/>
      <w:marLeft w:val="0"/>
      <w:marRight w:val="0"/>
      <w:marTop w:val="0"/>
      <w:marBottom w:val="0"/>
      <w:divBdr>
        <w:top w:val="none" w:sz="0" w:space="0" w:color="auto"/>
        <w:left w:val="none" w:sz="0" w:space="0" w:color="auto"/>
        <w:bottom w:val="none" w:sz="0" w:space="0" w:color="auto"/>
        <w:right w:val="none" w:sz="0" w:space="0" w:color="auto"/>
      </w:divBdr>
    </w:div>
    <w:div w:id="1897619013">
      <w:bodyDiv w:val="1"/>
      <w:marLeft w:val="0"/>
      <w:marRight w:val="0"/>
      <w:marTop w:val="0"/>
      <w:marBottom w:val="0"/>
      <w:divBdr>
        <w:top w:val="none" w:sz="0" w:space="0" w:color="auto"/>
        <w:left w:val="none" w:sz="0" w:space="0" w:color="auto"/>
        <w:bottom w:val="none" w:sz="0" w:space="0" w:color="auto"/>
        <w:right w:val="none" w:sz="0" w:space="0" w:color="auto"/>
      </w:divBdr>
    </w:div>
    <w:div w:id="1970813943">
      <w:bodyDiv w:val="1"/>
      <w:marLeft w:val="0"/>
      <w:marRight w:val="0"/>
      <w:marTop w:val="0"/>
      <w:marBottom w:val="0"/>
      <w:divBdr>
        <w:top w:val="none" w:sz="0" w:space="0" w:color="auto"/>
        <w:left w:val="none" w:sz="0" w:space="0" w:color="auto"/>
        <w:bottom w:val="none" w:sz="0" w:space="0" w:color="auto"/>
        <w:right w:val="none" w:sz="0" w:space="0" w:color="auto"/>
      </w:divBdr>
    </w:div>
    <w:div w:id="1973360163">
      <w:bodyDiv w:val="1"/>
      <w:marLeft w:val="0"/>
      <w:marRight w:val="0"/>
      <w:marTop w:val="0"/>
      <w:marBottom w:val="0"/>
      <w:divBdr>
        <w:top w:val="none" w:sz="0" w:space="0" w:color="auto"/>
        <w:left w:val="none" w:sz="0" w:space="0" w:color="auto"/>
        <w:bottom w:val="none" w:sz="0" w:space="0" w:color="auto"/>
        <w:right w:val="none" w:sz="0" w:space="0" w:color="auto"/>
      </w:divBdr>
    </w:div>
    <w:div w:id="1981762723">
      <w:bodyDiv w:val="1"/>
      <w:marLeft w:val="0"/>
      <w:marRight w:val="0"/>
      <w:marTop w:val="0"/>
      <w:marBottom w:val="0"/>
      <w:divBdr>
        <w:top w:val="none" w:sz="0" w:space="0" w:color="auto"/>
        <w:left w:val="none" w:sz="0" w:space="0" w:color="auto"/>
        <w:bottom w:val="none" w:sz="0" w:space="0" w:color="auto"/>
        <w:right w:val="none" w:sz="0" w:space="0" w:color="auto"/>
      </w:divBdr>
    </w:div>
    <w:div w:id="2072147450">
      <w:bodyDiv w:val="1"/>
      <w:marLeft w:val="0"/>
      <w:marRight w:val="0"/>
      <w:marTop w:val="0"/>
      <w:marBottom w:val="0"/>
      <w:divBdr>
        <w:top w:val="none" w:sz="0" w:space="0" w:color="auto"/>
        <w:left w:val="none" w:sz="0" w:space="0" w:color="auto"/>
        <w:bottom w:val="none" w:sz="0" w:space="0" w:color="auto"/>
        <w:right w:val="none" w:sz="0" w:space="0" w:color="auto"/>
      </w:divBdr>
    </w:div>
    <w:div w:id="21168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une.com/2023/10/31/four-insurers-leave-california-wildfire-risk-allstate-state-farm/" TargetMode="Externa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reuters.com/graphics/CALIFORNIA-WILDFIRES/gdpzyjxmovw/" TargetMode="Externa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nsurance.ca.gov/01-consumers/140-catastrophes/MandatoryOneYearMoratoriumNonRenewals.cfm"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6A9E1F-3F55-6948-8DD1-06D16DB0984E}" type="doc">
      <dgm:prSet loTypeId="urn:microsoft.com/office/officeart/2005/8/layout/hierarchy6" loCatId="" qsTypeId="urn:microsoft.com/office/officeart/2005/8/quickstyle/simple1" qsCatId="simple" csTypeId="urn:microsoft.com/office/officeart/2005/8/colors/accent3_4" csCatId="accent3" phldr="1"/>
      <dgm:spPr/>
      <dgm:t>
        <a:bodyPr/>
        <a:lstStyle/>
        <a:p>
          <a:endParaRPr lang="en-US"/>
        </a:p>
      </dgm:t>
    </dgm:pt>
    <dgm:pt modelId="{2F02E5D0-7EC5-D64D-85D9-465CB25D60DC}">
      <dgm:prSet phldrT="[Text]" custT="1"/>
      <dgm:spPr>
        <a:solidFill>
          <a:schemeClr val="tx1"/>
        </a:solidFill>
      </dgm:spPr>
      <dgm:t>
        <a:bodyPr/>
        <a:lstStyle/>
        <a:p>
          <a:r>
            <a:rPr lang="en-US" sz="800" b="0" i="0">
              <a:latin typeface="MS Reference Sans Serif" panose="020B0604030504040204" pitchFamily="34" charset="0"/>
              <a:ea typeface="Verdana" panose="020B0604030504040204" pitchFamily="34" charset="0"/>
              <a:cs typeface="Verdana" panose="020B0604030504040204" pitchFamily="34" charset="0"/>
            </a:rPr>
            <a:t>POLICY TYPE</a:t>
          </a:r>
        </a:p>
        <a:p>
          <a:r>
            <a:rPr lang="en-US" sz="800" b="0" i="0">
              <a:latin typeface="MS Reference Sans Serif" panose="020B0604030504040204" pitchFamily="34" charset="0"/>
              <a:ea typeface="Verdana" panose="020B0604030504040204" pitchFamily="34" charset="0"/>
              <a:cs typeface="Verdana" panose="020B0604030504040204" pitchFamily="34" charset="0"/>
            </a:rPr>
            <a:t>Homeowner</a:t>
          </a:r>
          <a:r>
            <a:rPr lang="en-US" sz="800">
              <a:latin typeface="MS Reference Sans Serif" panose="020B0604030504040204" pitchFamily="34" charset="0"/>
            </a:rPr>
            <a:t> (HO), Dwelling Fire Owner-Occupied (DO), Dwelling Fire Tenant-Occupied (DT), Renter's/Tenants (RT)</a:t>
          </a:r>
        </a:p>
      </dgm:t>
    </dgm:pt>
    <dgm:pt modelId="{267B315C-FEA2-0641-A072-4510D528B9CD}" type="parTrans" cxnId="{C67D4B34-10D8-FA41-BDC4-B47C5E686454}">
      <dgm:prSet/>
      <dgm:spPr/>
      <dgm:t>
        <a:bodyPr/>
        <a:lstStyle/>
        <a:p>
          <a:endParaRPr lang="en-US"/>
        </a:p>
      </dgm:t>
    </dgm:pt>
    <dgm:pt modelId="{3AFADA97-1DC8-BE41-8F0D-971211739DAF}" type="sibTrans" cxnId="{C67D4B34-10D8-FA41-BDC4-B47C5E686454}">
      <dgm:prSet/>
      <dgm:spPr/>
      <dgm:t>
        <a:bodyPr/>
        <a:lstStyle/>
        <a:p>
          <a:endParaRPr lang="en-US"/>
        </a:p>
      </dgm:t>
    </dgm:pt>
    <dgm:pt modelId="{59F14404-5EE8-934C-9958-0F885F92CF19}">
      <dgm:prSet phldrT="[Text]" custT="1"/>
      <dgm:spPr>
        <a:solidFill>
          <a:schemeClr val="tx1">
            <a:lumMod val="85000"/>
            <a:lumOff val="15000"/>
          </a:schemeClr>
        </a:solidFill>
      </dgm:spPr>
      <dgm:t>
        <a:bodyPr/>
        <a:lstStyle/>
        <a:p>
          <a:r>
            <a:rPr lang="en-US" sz="800"/>
            <a:t>CATASTROPHIC FIRE (HO-C, DO-C, DT-C, RT-c)</a:t>
          </a:r>
        </a:p>
      </dgm:t>
    </dgm:pt>
    <dgm:pt modelId="{36B41DC7-3EF6-0E40-8F4C-3502B387823C}" type="parTrans" cxnId="{38B7FAED-693B-C44A-9F64-D77C66A743EB}">
      <dgm:prSet/>
      <dgm:spPr/>
      <dgm:t>
        <a:bodyPr/>
        <a:lstStyle/>
        <a:p>
          <a:endParaRPr lang="en-US"/>
        </a:p>
      </dgm:t>
    </dgm:pt>
    <dgm:pt modelId="{27541394-F788-9F49-9B9F-C58D9433FBD0}" type="sibTrans" cxnId="{38B7FAED-693B-C44A-9F64-D77C66A743EB}">
      <dgm:prSet/>
      <dgm:spPr/>
      <dgm:t>
        <a:bodyPr/>
        <a:lstStyle/>
        <a:p>
          <a:endParaRPr lang="en-US"/>
        </a:p>
      </dgm:t>
    </dgm:pt>
    <dgm:pt modelId="{47A46CF3-8EAE-494A-9765-469CC2EE366F}">
      <dgm:prSet phldrT="[Text]" custT="1"/>
      <dgm:spPr>
        <a:solidFill>
          <a:schemeClr val="tx1">
            <a:lumMod val="85000"/>
            <a:lumOff val="15000"/>
          </a:schemeClr>
        </a:solidFill>
      </dgm:spPr>
      <dgm:t>
        <a:bodyPr/>
        <a:lstStyle/>
        <a:p>
          <a:r>
            <a:rPr lang="en-US" sz="800"/>
            <a:t>NON-CATASTROPHIC FIRE (HO-NC, DO-NC, DT-NC, RT-NC) </a:t>
          </a:r>
        </a:p>
      </dgm:t>
    </dgm:pt>
    <dgm:pt modelId="{DCC8E1B7-D5BA-1E4F-86D0-445378426917}" type="parTrans" cxnId="{6C4C86C7-3639-5345-AD86-4954857A3D90}">
      <dgm:prSet/>
      <dgm:spPr/>
      <dgm:t>
        <a:bodyPr/>
        <a:lstStyle/>
        <a:p>
          <a:endParaRPr lang="en-US"/>
        </a:p>
      </dgm:t>
    </dgm:pt>
    <dgm:pt modelId="{E0103A2B-159E-F14D-9A15-2792CB9C9257}" type="sibTrans" cxnId="{6C4C86C7-3639-5345-AD86-4954857A3D90}">
      <dgm:prSet/>
      <dgm:spPr/>
      <dgm:t>
        <a:bodyPr/>
        <a:lstStyle/>
        <a:p>
          <a:endParaRPr lang="en-US"/>
        </a:p>
      </dgm:t>
    </dgm:pt>
    <dgm:pt modelId="{20862952-E6C1-0A4B-995D-19252DF0BE5A}">
      <dgm:prSet phldrT="[Text]" custT="1"/>
      <dgm:spPr>
        <a:solidFill>
          <a:schemeClr val="tx1">
            <a:lumMod val="75000"/>
            <a:lumOff val="25000"/>
          </a:schemeClr>
        </a:solidFill>
      </dgm:spPr>
      <dgm:t>
        <a:bodyPr/>
        <a:lstStyle/>
        <a:p>
          <a:r>
            <a:rPr lang="en-US" sz="800"/>
            <a:t>Coverage A: Structural Damage</a:t>
          </a:r>
        </a:p>
        <a:p>
          <a:r>
            <a:rPr lang="en-US" sz="800"/>
            <a:t>(HO-NC-A, DO-NC-A, DT-NC-A, RT-NC-A)</a:t>
          </a:r>
        </a:p>
      </dgm:t>
    </dgm:pt>
    <dgm:pt modelId="{330A8959-A2F7-634B-9EC0-FEFF8BB2BA03}" type="parTrans" cxnId="{5B491E77-D385-7E46-96D5-71EC0BF22B51}">
      <dgm:prSet/>
      <dgm:spPr/>
      <dgm:t>
        <a:bodyPr/>
        <a:lstStyle/>
        <a:p>
          <a:endParaRPr lang="en-US"/>
        </a:p>
      </dgm:t>
    </dgm:pt>
    <dgm:pt modelId="{646BAA4B-97E0-254E-87ED-6D32B425FA06}" type="sibTrans" cxnId="{5B491E77-D385-7E46-96D5-71EC0BF22B51}">
      <dgm:prSet/>
      <dgm:spPr/>
      <dgm:t>
        <a:bodyPr/>
        <a:lstStyle/>
        <a:p>
          <a:endParaRPr lang="en-US"/>
        </a:p>
      </dgm:t>
    </dgm:pt>
    <dgm:pt modelId="{E50CB4B0-FE21-7A4E-94F6-E80C09AE0721}">
      <dgm:prSet phldrT="[Text]" custT="1"/>
      <dgm:spPr>
        <a:solidFill>
          <a:schemeClr val="tx1">
            <a:lumMod val="75000"/>
            <a:lumOff val="25000"/>
          </a:schemeClr>
        </a:solidFill>
      </dgm:spPr>
      <dgm:t>
        <a:bodyPr/>
        <a:lstStyle/>
        <a:p>
          <a:r>
            <a:rPr lang="en-US" sz="800"/>
            <a:t>Coverage C: Property damage</a:t>
          </a:r>
        </a:p>
        <a:p>
          <a:r>
            <a:rPr lang="en-US" sz="800"/>
            <a:t>(HO-NC-C, DO-NC-C, DT-NC-C, RT-NC-C</a:t>
          </a:r>
          <a:r>
            <a:rPr lang="en-US" sz="700"/>
            <a:t>)</a:t>
          </a:r>
          <a:endParaRPr lang="en-US" sz="600"/>
        </a:p>
      </dgm:t>
    </dgm:pt>
    <dgm:pt modelId="{3FC0AB53-3584-E445-A037-673FEE7CFC2D}" type="parTrans" cxnId="{99D976DF-809B-3C4E-A35D-F8157F454720}">
      <dgm:prSet/>
      <dgm:spPr/>
      <dgm:t>
        <a:bodyPr/>
        <a:lstStyle/>
        <a:p>
          <a:endParaRPr lang="en-US"/>
        </a:p>
      </dgm:t>
    </dgm:pt>
    <dgm:pt modelId="{037A03D7-926D-AD4E-8CEA-1F7FC51DBA42}" type="sibTrans" cxnId="{99D976DF-809B-3C4E-A35D-F8157F454720}">
      <dgm:prSet/>
      <dgm:spPr/>
      <dgm:t>
        <a:bodyPr/>
        <a:lstStyle/>
        <a:p>
          <a:endParaRPr lang="en-US"/>
        </a:p>
      </dgm:t>
    </dgm:pt>
    <dgm:pt modelId="{9C7252C8-AC2E-5C41-8522-8E1F105A83F1}">
      <dgm:prSet phldrT="[Text]" custT="1"/>
      <dgm:spPr>
        <a:solidFill>
          <a:schemeClr val="tx1">
            <a:lumMod val="65000"/>
            <a:lumOff val="35000"/>
          </a:schemeClr>
        </a:solidFill>
      </dgm:spPr>
      <dgm:t>
        <a:bodyPr/>
        <a:lstStyle/>
        <a:p>
          <a:r>
            <a:rPr lang="en-US" sz="700" b="1"/>
            <a:t>FIRE damage</a:t>
          </a:r>
        </a:p>
        <a:p>
          <a:r>
            <a:rPr lang="en-US" sz="700"/>
            <a:t>(HO-NC-A-F)</a:t>
          </a:r>
        </a:p>
      </dgm:t>
    </dgm:pt>
    <dgm:pt modelId="{7F231FFA-A5D1-0640-8BD1-01FEF916EED6}" type="parTrans" cxnId="{53FA294A-DE2C-EC42-9C84-5E49BF179172}">
      <dgm:prSet/>
      <dgm:spPr/>
      <dgm:t>
        <a:bodyPr/>
        <a:lstStyle/>
        <a:p>
          <a:endParaRPr lang="en-US"/>
        </a:p>
      </dgm:t>
    </dgm:pt>
    <dgm:pt modelId="{A059B814-1B3E-3348-A55B-8A1136AF9CAD}" type="sibTrans" cxnId="{53FA294A-DE2C-EC42-9C84-5E49BF179172}">
      <dgm:prSet/>
      <dgm:spPr/>
      <dgm:t>
        <a:bodyPr/>
        <a:lstStyle/>
        <a:p>
          <a:endParaRPr lang="en-US"/>
        </a:p>
      </dgm:t>
    </dgm:pt>
    <dgm:pt modelId="{BDCC0D45-CDC9-F44E-ABE4-61F981DD132F}">
      <dgm:prSet phldrT="[Text]" custT="1"/>
      <dgm:spPr>
        <a:solidFill>
          <a:schemeClr val="tx1">
            <a:lumMod val="65000"/>
            <a:lumOff val="35000"/>
          </a:schemeClr>
        </a:solidFill>
      </dgm:spPr>
      <dgm:t>
        <a:bodyPr/>
        <a:lstStyle/>
        <a:p>
          <a:r>
            <a:rPr lang="en-US" sz="700" b="1"/>
            <a:t>SMOKE damage</a:t>
          </a:r>
        </a:p>
        <a:p>
          <a:r>
            <a:rPr lang="en-US" sz="700"/>
            <a:t>(HO-NC-A-S)</a:t>
          </a:r>
        </a:p>
      </dgm:t>
    </dgm:pt>
    <dgm:pt modelId="{DD247D37-C41D-8A4A-BBE5-2BE231993BE2}" type="parTrans" cxnId="{B644FDC4-270E-124A-BDB3-2493D613A468}">
      <dgm:prSet/>
      <dgm:spPr/>
      <dgm:t>
        <a:bodyPr/>
        <a:lstStyle/>
        <a:p>
          <a:endParaRPr lang="en-US"/>
        </a:p>
      </dgm:t>
    </dgm:pt>
    <dgm:pt modelId="{7F1A0294-2F1D-874E-A527-99EE9FDC31A7}" type="sibTrans" cxnId="{B644FDC4-270E-124A-BDB3-2493D613A468}">
      <dgm:prSet/>
      <dgm:spPr/>
      <dgm:t>
        <a:bodyPr/>
        <a:lstStyle/>
        <a:p>
          <a:endParaRPr lang="en-US"/>
        </a:p>
      </dgm:t>
    </dgm:pt>
    <dgm:pt modelId="{DDF11C02-C18E-4446-9B23-885AEAFACBDC}">
      <dgm:prSet phldrT="[Text]"/>
      <dgm:spPr>
        <a:solidFill>
          <a:schemeClr val="tx1">
            <a:lumMod val="65000"/>
            <a:lumOff val="35000"/>
          </a:schemeClr>
        </a:solidFill>
      </dgm:spPr>
      <dgm:t>
        <a:bodyPr/>
        <a:lstStyle/>
        <a:p>
          <a:r>
            <a:rPr lang="en-US" b="1"/>
            <a:t>FIRE damage</a:t>
          </a:r>
        </a:p>
        <a:p>
          <a:r>
            <a:rPr lang="en-US"/>
            <a:t>(HO-NC-C-F)</a:t>
          </a:r>
        </a:p>
      </dgm:t>
    </dgm:pt>
    <dgm:pt modelId="{86164F3E-FEDA-AE45-BEFF-13AD10703E3C}" type="parTrans" cxnId="{41FD30E9-5645-3342-8E13-A7A51F3A0FF5}">
      <dgm:prSet/>
      <dgm:spPr/>
      <dgm:t>
        <a:bodyPr/>
        <a:lstStyle/>
        <a:p>
          <a:endParaRPr lang="en-US"/>
        </a:p>
      </dgm:t>
    </dgm:pt>
    <dgm:pt modelId="{5A31EF7B-FBFC-304A-8CDA-A20F064CA48D}" type="sibTrans" cxnId="{41FD30E9-5645-3342-8E13-A7A51F3A0FF5}">
      <dgm:prSet/>
      <dgm:spPr/>
      <dgm:t>
        <a:bodyPr/>
        <a:lstStyle/>
        <a:p>
          <a:endParaRPr lang="en-US"/>
        </a:p>
      </dgm:t>
    </dgm:pt>
    <dgm:pt modelId="{917BB7BF-2E2E-8C44-A239-C1D6041F02EE}">
      <dgm:prSet phldrT="[Text]"/>
      <dgm:spPr>
        <a:solidFill>
          <a:schemeClr val="tx1">
            <a:lumMod val="65000"/>
            <a:lumOff val="35000"/>
          </a:schemeClr>
        </a:solidFill>
      </dgm:spPr>
      <dgm:t>
        <a:bodyPr/>
        <a:lstStyle/>
        <a:p>
          <a:r>
            <a:rPr lang="en-US" b="1"/>
            <a:t>SMOKE damage</a:t>
          </a:r>
        </a:p>
        <a:p>
          <a:r>
            <a:rPr lang="en-US"/>
            <a:t>(HO-NC-C-S)</a:t>
          </a:r>
        </a:p>
      </dgm:t>
    </dgm:pt>
    <dgm:pt modelId="{3164047D-A047-2E48-A314-1BDDD433F846}" type="parTrans" cxnId="{0C760357-5B6C-A540-A625-18304AA20476}">
      <dgm:prSet/>
      <dgm:spPr/>
      <dgm:t>
        <a:bodyPr/>
        <a:lstStyle/>
        <a:p>
          <a:endParaRPr lang="en-US"/>
        </a:p>
      </dgm:t>
    </dgm:pt>
    <dgm:pt modelId="{791F95C2-4D1A-DB40-AEC7-B50FA371A186}" type="sibTrans" cxnId="{0C760357-5B6C-A540-A625-18304AA20476}">
      <dgm:prSet/>
      <dgm:spPr/>
      <dgm:t>
        <a:bodyPr/>
        <a:lstStyle/>
        <a:p>
          <a:endParaRPr lang="en-US"/>
        </a:p>
      </dgm:t>
    </dgm:pt>
    <dgm:pt modelId="{B075096D-0660-AE4E-92AE-C6B6A93F453D}">
      <dgm:prSet phldrT="[Text]" custT="1"/>
      <dgm:spPr>
        <a:solidFill>
          <a:schemeClr val="tx1">
            <a:lumMod val="75000"/>
            <a:lumOff val="25000"/>
          </a:schemeClr>
        </a:solidFill>
      </dgm:spPr>
      <dgm:t>
        <a:bodyPr/>
        <a:lstStyle/>
        <a:p>
          <a:r>
            <a:rPr lang="en-US" sz="800"/>
            <a:t>Coverage A : Structural Damage</a:t>
          </a:r>
        </a:p>
        <a:p>
          <a:r>
            <a:rPr lang="en-US" sz="800"/>
            <a:t>(HO-C-A, DO-C-A, DT-C-A, RT-C-A</a:t>
          </a:r>
          <a:r>
            <a:rPr lang="en-US" sz="700"/>
            <a:t>)</a:t>
          </a:r>
        </a:p>
      </dgm:t>
    </dgm:pt>
    <dgm:pt modelId="{82B243DD-4FDD-C347-BFB2-BF9465DD3BE9}" type="parTrans" cxnId="{CA46003A-F21E-3B4A-AB63-5C9EBA2CE27F}">
      <dgm:prSet/>
      <dgm:spPr/>
      <dgm:t>
        <a:bodyPr/>
        <a:lstStyle/>
        <a:p>
          <a:endParaRPr lang="en-US"/>
        </a:p>
      </dgm:t>
    </dgm:pt>
    <dgm:pt modelId="{2E70F6E5-6ABA-9D43-A3B3-2A33950E5D50}" type="sibTrans" cxnId="{CA46003A-F21E-3B4A-AB63-5C9EBA2CE27F}">
      <dgm:prSet/>
      <dgm:spPr/>
      <dgm:t>
        <a:bodyPr/>
        <a:lstStyle/>
        <a:p>
          <a:endParaRPr lang="en-US"/>
        </a:p>
      </dgm:t>
    </dgm:pt>
    <dgm:pt modelId="{BA7798E2-24DF-7C4B-8C16-469AD434E19B}">
      <dgm:prSet phldrT="[Text]"/>
      <dgm:spPr>
        <a:solidFill>
          <a:schemeClr val="tx1">
            <a:lumMod val="65000"/>
            <a:lumOff val="35000"/>
          </a:schemeClr>
        </a:solidFill>
      </dgm:spPr>
      <dgm:t>
        <a:bodyPr/>
        <a:lstStyle/>
        <a:p>
          <a:r>
            <a:rPr lang="en-US" b="1"/>
            <a:t>FIRE damage</a:t>
          </a:r>
        </a:p>
        <a:p>
          <a:r>
            <a:rPr lang="en-US"/>
            <a:t>(HO-C-A-F)</a:t>
          </a:r>
        </a:p>
      </dgm:t>
    </dgm:pt>
    <dgm:pt modelId="{926BE3B5-4461-6447-8707-89328D0C4645}" type="parTrans" cxnId="{67360222-F38C-5949-880C-28038A58A55E}">
      <dgm:prSet/>
      <dgm:spPr/>
      <dgm:t>
        <a:bodyPr/>
        <a:lstStyle/>
        <a:p>
          <a:endParaRPr lang="en-US"/>
        </a:p>
      </dgm:t>
    </dgm:pt>
    <dgm:pt modelId="{B51053F4-359C-494A-95C3-4D7871DB1365}" type="sibTrans" cxnId="{67360222-F38C-5949-880C-28038A58A55E}">
      <dgm:prSet/>
      <dgm:spPr/>
      <dgm:t>
        <a:bodyPr/>
        <a:lstStyle/>
        <a:p>
          <a:endParaRPr lang="en-US"/>
        </a:p>
      </dgm:t>
    </dgm:pt>
    <dgm:pt modelId="{BE7F15F7-961A-AE4D-A465-B03F23001FE8}">
      <dgm:prSet phldrT="[Text]"/>
      <dgm:spPr>
        <a:solidFill>
          <a:schemeClr val="tx1">
            <a:lumMod val="65000"/>
            <a:lumOff val="35000"/>
          </a:schemeClr>
        </a:solidFill>
      </dgm:spPr>
      <dgm:t>
        <a:bodyPr/>
        <a:lstStyle/>
        <a:p>
          <a:r>
            <a:rPr lang="en-US" b="1"/>
            <a:t>SMOKE damage</a:t>
          </a:r>
        </a:p>
        <a:p>
          <a:r>
            <a:rPr lang="en-US"/>
            <a:t>(HO-C-A-S)</a:t>
          </a:r>
        </a:p>
      </dgm:t>
    </dgm:pt>
    <dgm:pt modelId="{6329B37F-7535-1D45-A82A-B9A37F5770A3}" type="parTrans" cxnId="{98543124-29F6-CB4C-89CD-9CED0BBCEF11}">
      <dgm:prSet/>
      <dgm:spPr/>
      <dgm:t>
        <a:bodyPr/>
        <a:lstStyle/>
        <a:p>
          <a:endParaRPr lang="en-US"/>
        </a:p>
      </dgm:t>
    </dgm:pt>
    <dgm:pt modelId="{89CB5B7F-9939-FC44-84CF-628C41F330E7}" type="sibTrans" cxnId="{98543124-29F6-CB4C-89CD-9CED0BBCEF11}">
      <dgm:prSet/>
      <dgm:spPr/>
      <dgm:t>
        <a:bodyPr/>
        <a:lstStyle/>
        <a:p>
          <a:endParaRPr lang="en-US"/>
        </a:p>
      </dgm:t>
    </dgm:pt>
    <dgm:pt modelId="{826008A5-6752-6747-A748-5CF80D5972B9}">
      <dgm:prSet phldrT="[Text]" custT="1"/>
      <dgm:spPr>
        <a:solidFill>
          <a:schemeClr val="tx1">
            <a:lumMod val="75000"/>
            <a:lumOff val="25000"/>
          </a:schemeClr>
        </a:solidFill>
      </dgm:spPr>
      <dgm:t>
        <a:bodyPr/>
        <a:lstStyle/>
        <a:p>
          <a:r>
            <a:rPr lang="en-US" sz="800"/>
            <a:t>Coverage C: Property damage</a:t>
          </a:r>
        </a:p>
        <a:p>
          <a:r>
            <a:rPr lang="en-US" sz="800"/>
            <a:t>(HO-C-C, DO-C-C, DT-C-C, RT-C-C) </a:t>
          </a:r>
        </a:p>
      </dgm:t>
    </dgm:pt>
    <dgm:pt modelId="{29BE1D2B-D94B-AB44-8BA8-A4C6142F00DE}" type="parTrans" cxnId="{99844FCB-7A12-D943-A506-F0A970CF161D}">
      <dgm:prSet/>
      <dgm:spPr/>
      <dgm:t>
        <a:bodyPr/>
        <a:lstStyle/>
        <a:p>
          <a:endParaRPr lang="en-US"/>
        </a:p>
      </dgm:t>
    </dgm:pt>
    <dgm:pt modelId="{024FD4D1-332C-6C40-A8D5-66910989550D}" type="sibTrans" cxnId="{99844FCB-7A12-D943-A506-F0A970CF161D}">
      <dgm:prSet/>
      <dgm:spPr/>
      <dgm:t>
        <a:bodyPr/>
        <a:lstStyle/>
        <a:p>
          <a:endParaRPr lang="en-US"/>
        </a:p>
      </dgm:t>
    </dgm:pt>
    <dgm:pt modelId="{256CEFF4-BED4-6343-A20E-FCA92564F0F8}">
      <dgm:prSet phldrT="[Text]"/>
      <dgm:spPr>
        <a:solidFill>
          <a:schemeClr val="tx1">
            <a:lumMod val="65000"/>
            <a:lumOff val="35000"/>
          </a:schemeClr>
        </a:solidFill>
      </dgm:spPr>
      <dgm:t>
        <a:bodyPr/>
        <a:lstStyle/>
        <a:p>
          <a:r>
            <a:rPr lang="en-US" b="1"/>
            <a:t>FIRE damage</a:t>
          </a:r>
        </a:p>
        <a:p>
          <a:r>
            <a:rPr lang="en-US" b="0"/>
            <a:t>(HO-C-C-F)</a:t>
          </a:r>
        </a:p>
      </dgm:t>
    </dgm:pt>
    <dgm:pt modelId="{C7040FCB-3793-794B-8385-6D371784BC75}" type="parTrans" cxnId="{38BE6DA4-8165-0641-8181-7C8A42781148}">
      <dgm:prSet/>
      <dgm:spPr/>
      <dgm:t>
        <a:bodyPr/>
        <a:lstStyle/>
        <a:p>
          <a:endParaRPr lang="en-US"/>
        </a:p>
      </dgm:t>
    </dgm:pt>
    <dgm:pt modelId="{31FAC942-0653-1141-9F56-B40CC2857A54}" type="sibTrans" cxnId="{38BE6DA4-8165-0641-8181-7C8A42781148}">
      <dgm:prSet/>
      <dgm:spPr/>
      <dgm:t>
        <a:bodyPr/>
        <a:lstStyle/>
        <a:p>
          <a:endParaRPr lang="en-US"/>
        </a:p>
      </dgm:t>
    </dgm:pt>
    <dgm:pt modelId="{E61ADDA0-3CF3-CE41-B1B4-396E9F472B62}">
      <dgm:prSet phldrT="[Text]"/>
      <dgm:spPr>
        <a:solidFill>
          <a:schemeClr val="tx1">
            <a:lumMod val="65000"/>
            <a:lumOff val="35000"/>
          </a:schemeClr>
        </a:solidFill>
      </dgm:spPr>
      <dgm:t>
        <a:bodyPr/>
        <a:lstStyle/>
        <a:p>
          <a:r>
            <a:rPr lang="en-US" b="1"/>
            <a:t>SMOKE damage</a:t>
          </a:r>
        </a:p>
        <a:p>
          <a:r>
            <a:rPr lang="en-US" b="0"/>
            <a:t>(HO-C-C-S)</a:t>
          </a:r>
        </a:p>
      </dgm:t>
    </dgm:pt>
    <dgm:pt modelId="{EF7B509C-D29A-764A-96A1-0E4301E1401C}" type="parTrans" cxnId="{0BA0FA7F-F2CD-E942-A9FA-8DFC76D5A167}">
      <dgm:prSet/>
      <dgm:spPr/>
      <dgm:t>
        <a:bodyPr/>
        <a:lstStyle/>
        <a:p>
          <a:endParaRPr lang="en-US"/>
        </a:p>
      </dgm:t>
    </dgm:pt>
    <dgm:pt modelId="{7448DA34-D230-1248-995B-52A26B92BAA4}" type="sibTrans" cxnId="{0BA0FA7F-F2CD-E942-A9FA-8DFC76D5A167}">
      <dgm:prSet/>
      <dgm:spPr/>
      <dgm:t>
        <a:bodyPr/>
        <a:lstStyle/>
        <a:p>
          <a:endParaRPr lang="en-US"/>
        </a:p>
      </dgm:t>
    </dgm:pt>
    <dgm:pt modelId="{0FE23C50-951D-444A-8439-0626292E4F6A}" type="pres">
      <dgm:prSet presAssocID="{BC6A9E1F-3F55-6948-8DD1-06D16DB0984E}" presName="mainComposite" presStyleCnt="0">
        <dgm:presLayoutVars>
          <dgm:chPref val="1"/>
          <dgm:dir/>
          <dgm:animOne val="branch"/>
          <dgm:animLvl val="lvl"/>
          <dgm:resizeHandles val="exact"/>
        </dgm:presLayoutVars>
      </dgm:prSet>
      <dgm:spPr/>
    </dgm:pt>
    <dgm:pt modelId="{CD03A0D2-3EA7-7943-A2BF-4B1A8B1EAFC3}" type="pres">
      <dgm:prSet presAssocID="{BC6A9E1F-3F55-6948-8DD1-06D16DB0984E}" presName="hierFlow" presStyleCnt="0"/>
      <dgm:spPr/>
    </dgm:pt>
    <dgm:pt modelId="{58BE1284-3C28-DF4B-BA3E-312F21ED8C64}" type="pres">
      <dgm:prSet presAssocID="{BC6A9E1F-3F55-6948-8DD1-06D16DB0984E}" presName="hierChild1" presStyleCnt="0">
        <dgm:presLayoutVars>
          <dgm:chPref val="1"/>
          <dgm:animOne val="branch"/>
          <dgm:animLvl val="lvl"/>
        </dgm:presLayoutVars>
      </dgm:prSet>
      <dgm:spPr/>
    </dgm:pt>
    <dgm:pt modelId="{B85F6CB4-1470-3345-9749-89730A75CC20}" type="pres">
      <dgm:prSet presAssocID="{2F02E5D0-7EC5-D64D-85D9-465CB25D60DC}" presName="Name14" presStyleCnt="0"/>
      <dgm:spPr/>
    </dgm:pt>
    <dgm:pt modelId="{BCD8829A-DA0E-194D-B569-47151CE927AD}" type="pres">
      <dgm:prSet presAssocID="{2F02E5D0-7EC5-D64D-85D9-465CB25D60DC}" presName="level1Shape" presStyleLbl="node0" presStyleIdx="0" presStyleCnt="1" custScaleX="894247" custScaleY="239898">
        <dgm:presLayoutVars>
          <dgm:chPref val="3"/>
        </dgm:presLayoutVars>
      </dgm:prSet>
      <dgm:spPr/>
    </dgm:pt>
    <dgm:pt modelId="{E34D7DA2-9B93-EE4B-A316-868513165F9D}" type="pres">
      <dgm:prSet presAssocID="{2F02E5D0-7EC5-D64D-85D9-465CB25D60DC}" presName="hierChild2" presStyleCnt="0"/>
      <dgm:spPr/>
    </dgm:pt>
    <dgm:pt modelId="{7076C335-D55D-7C4A-85B4-E3932A595267}" type="pres">
      <dgm:prSet presAssocID="{DCC8E1B7-D5BA-1E4F-86D0-445378426917}" presName="Name19" presStyleLbl="parChTrans1D2" presStyleIdx="0" presStyleCnt="2"/>
      <dgm:spPr/>
    </dgm:pt>
    <dgm:pt modelId="{D7939F69-F42F-7C4D-977F-304912B01D7B}" type="pres">
      <dgm:prSet presAssocID="{47A46CF3-8EAE-494A-9765-469CC2EE366F}" presName="Name21" presStyleCnt="0"/>
      <dgm:spPr/>
    </dgm:pt>
    <dgm:pt modelId="{AF31666E-0363-E241-AD9D-5F130ACD55EA}" type="pres">
      <dgm:prSet presAssocID="{47A46CF3-8EAE-494A-9765-469CC2EE366F}" presName="level2Shape" presStyleLbl="node2" presStyleIdx="0" presStyleCnt="2" custScaleX="428254" custScaleY="74066"/>
      <dgm:spPr/>
    </dgm:pt>
    <dgm:pt modelId="{334A9D5A-45E4-0545-B11B-8A53A60EF0AD}" type="pres">
      <dgm:prSet presAssocID="{47A46CF3-8EAE-494A-9765-469CC2EE366F}" presName="hierChild3" presStyleCnt="0"/>
      <dgm:spPr/>
    </dgm:pt>
    <dgm:pt modelId="{AE32C903-C78E-8041-AEA7-D4A81FD521FC}" type="pres">
      <dgm:prSet presAssocID="{330A8959-A2F7-634B-9EC0-FEFF8BB2BA03}" presName="Name19" presStyleLbl="parChTrans1D3" presStyleIdx="0" presStyleCnt="4"/>
      <dgm:spPr/>
    </dgm:pt>
    <dgm:pt modelId="{B3E79171-E4A0-E641-BD04-A25B543D94DA}" type="pres">
      <dgm:prSet presAssocID="{20862952-E6C1-0A4B-995D-19252DF0BE5A}" presName="Name21" presStyleCnt="0"/>
      <dgm:spPr/>
    </dgm:pt>
    <dgm:pt modelId="{9DC7EDB2-8104-4C4E-89B6-F093DFC12E18}" type="pres">
      <dgm:prSet presAssocID="{20862952-E6C1-0A4B-995D-19252DF0BE5A}" presName="level2Shape" presStyleLbl="node3" presStyleIdx="0" presStyleCnt="4" custScaleX="247506" custScaleY="136745"/>
      <dgm:spPr/>
    </dgm:pt>
    <dgm:pt modelId="{D00B79FC-EA86-3F41-8659-ACAA78D818F8}" type="pres">
      <dgm:prSet presAssocID="{20862952-E6C1-0A4B-995D-19252DF0BE5A}" presName="hierChild3" presStyleCnt="0"/>
      <dgm:spPr/>
    </dgm:pt>
    <dgm:pt modelId="{2E26E046-F483-904C-8AC5-06382BFD858B}" type="pres">
      <dgm:prSet presAssocID="{7F231FFA-A5D1-0640-8BD1-01FEF916EED6}" presName="Name19" presStyleLbl="parChTrans1D4" presStyleIdx="0" presStyleCnt="8"/>
      <dgm:spPr/>
    </dgm:pt>
    <dgm:pt modelId="{5CAE9BFF-1292-3C4C-8191-A033B5021305}" type="pres">
      <dgm:prSet presAssocID="{9C7252C8-AC2E-5C41-8522-8E1F105A83F1}" presName="Name21" presStyleCnt="0"/>
      <dgm:spPr/>
    </dgm:pt>
    <dgm:pt modelId="{F75E9C67-6F84-0946-AA2D-978853723A22}" type="pres">
      <dgm:prSet presAssocID="{9C7252C8-AC2E-5C41-8522-8E1F105A83F1}" presName="level2Shape" presStyleLbl="node4" presStyleIdx="0" presStyleCnt="8" custScaleX="107553" custScaleY="119059" custLinFactNeighborX="-1659" custLinFactNeighborY="2226"/>
      <dgm:spPr/>
    </dgm:pt>
    <dgm:pt modelId="{61F6C453-A787-C947-A8C4-BAAB3480648B}" type="pres">
      <dgm:prSet presAssocID="{9C7252C8-AC2E-5C41-8522-8E1F105A83F1}" presName="hierChild3" presStyleCnt="0"/>
      <dgm:spPr/>
    </dgm:pt>
    <dgm:pt modelId="{8FD61117-8698-FC4B-B424-68172C46411B}" type="pres">
      <dgm:prSet presAssocID="{DD247D37-C41D-8A4A-BBE5-2BE231993BE2}" presName="Name19" presStyleLbl="parChTrans1D4" presStyleIdx="1" presStyleCnt="8"/>
      <dgm:spPr/>
    </dgm:pt>
    <dgm:pt modelId="{741B4285-E6A7-A54C-B81C-96194E285FD7}" type="pres">
      <dgm:prSet presAssocID="{BDCC0D45-CDC9-F44E-ABE4-61F981DD132F}" presName="Name21" presStyleCnt="0"/>
      <dgm:spPr/>
    </dgm:pt>
    <dgm:pt modelId="{FE63C2B5-F0FA-7344-AB55-E32CEBDBEB55}" type="pres">
      <dgm:prSet presAssocID="{BDCC0D45-CDC9-F44E-ABE4-61F981DD132F}" presName="level2Shape" presStyleLbl="node4" presStyleIdx="1" presStyleCnt="8" custScaleX="107259" custScaleY="119231" custLinFactNeighborY="4388"/>
      <dgm:spPr/>
    </dgm:pt>
    <dgm:pt modelId="{CA9F0064-A2C2-FC48-ABB8-47F52C705743}" type="pres">
      <dgm:prSet presAssocID="{BDCC0D45-CDC9-F44E-ABE4-61F981DD132F}" presName="hierChild3" presStyleCnt="0"/>
      <dgm:spPr/>
    </dgm:pt>
    <dgm:pt modelId="{6DD758F6-2CA9-C345-858A-DD7829F2A6EB}" type="pres">
      <dgm:prSet presAssocID="{3FC0AB53-3584-E445-A037-673FEE7CFC2D}" presName="Name19" presStyleLbl="parChTrans1D3" presStyleIdx="1" presStyleCnt="4"/>
      <dgm:spPr/>
    </dgm:pt>
    <dgm:pt modelId="{529E175F-AE6F-0C4D-95C7-2716B40392E1}" type="pres">
      <dgm:prSet presAssocID="{E50CB4B0-FE21-7A4E-94F6-E80C09AE0721}" presName="Name21" presStyleCnt="0"/>
      <dgm:spPr/>
    </dgm:pt>
    <dgm:pt modelId="{F9B32469-29E3-964B-8ACB-564655212EB6}" type="pres">
      <dgm:prSet presAssocID="{E50CB4B0-FE21-7A4E-94F6-E80C09AE0721}" presName="level2Shape" presStyleLbl="node3" presStyleIdx="1" presStyleCnt="4" custScaleX="273117" custScaleY="138903" custLinFactNeighborX="-1441" custLinFactNeighborY="2162"/>
      <dgm:spPr/>
    </dgm:pt>
    <dgm:pt modelId="{AF10CB20-DD14-2244-A840-BB0110CECBA5}" type="pres">
      <dgm:prSet presAssocID="{E50CB4B0-FE21-7A4E-94F6-E80C09AE0721}" presName="hierChild3" presStyleCnt="0"/>
      <dgm:spPr/>
    </dgm:pt>
    <dgm:pt modelId="{82A5728C-2650-FB49-A790-DDC050F80564}" type="pres">
      <dgm:prSet presAssocID="{86164F3E-FEDA-AE45-BEFF-13AD10703E3C}" presName="Name19" presStyleLbl="parChTrans1D4" presStyleIdx="2" presStyleCnt="8"/>
      <dgm:spPr/>
    </dgm:pt>
    <dgm:pt modelId="{117A05B9-C6FA-E34F-BD2C-2B4A58D0AEEF}" type="pres">
      <dgm:prSet presAssocID="{DDF11C02-C18E-4446-9B23-885AEAFACBDC}" presName="Name21" presStyleCnt="0"/>
      <dgm:spPr/>
    </dgm:pt>
    <dgm:pt modelId="{7E14B495-228B-C64F-A79D-5061A6B2AC3A}" type="pres">
      <dgm:prSet presAssocID="{DDF11C02-C18E-4446-9B23-885AEAFACBDC}" presName="level2Shape" presStyleLbl="node4" presStyleIdx="2" presStyleCnt="8" custScaleX="106091" custScaleY="117341"/>
      <dgm:spPr/>
    </dgm:pt>
    <dgm:pt modelId="{E1F90CF8-D537-294D-A3B8-B28C955E63B6}" type="pres">
      <dgm:prSet presAssocID="{DDF11C02-C18E-4446-9B23-885AEAFACBDC}" presName="hierChild3" presStyleCnt="0"/>
      <dgm:spPr/>
    </dgm:pt>
    <dgm:pt modelId="{0DB341B2-6527-B14F-8EA0-0265DC3480D2}" type="pres">
      <dgm:prSet presAssocID="{3164047D-A047-2E48-A314-1BDDD433F846}" presName="Name19" presStyleLbl="parChTrans1D4" presStyleIdx="3" presStyleCnt="8"/>
      <dgm:spPr/>
    </dgm:pt>
    <dgm:pt modelId="{FAA32249-8384-9B43-A541-827EE4C04DCC}" type="pres">
      <dgm:prSet presAssocID="{917BB7BF-2E2E-8C44-A239-C1D6041F02EE}" presName="Name21" presStyleCnt="0"/>
      <dgm:spPr/>
    </dgm:pt>
    <dgm:pt modelId="{C02C9C9D-AAE6-E446-B1ED-8E68150903F3}" type="pres">
      <dgm:prSet presAssocID="{917BB7BF-2E2E-8C44-A239-C1D6041F02EE}" presName="level2Shape" presStyleLbl="node4" presStyleIdx="3" presStyleCnt="8" custScaleX="106422" custScaleY="117341"/>
      <dgm:spPr/>
    </dgm:pt>
    <dgm:pt modelId="{D272B4B1-9D0F-524E-800E-5739A0EFE4F5}" type="pres">
      <dgm:prSet presAssocID="{917BB7BF-2E2E-8C44-A239-C1D6041F02EE}" presName="hierChild3" presStyleCnt="0"/>
      <dgm:spPr/>
    </dgm:pt>
    <dgm:pt modelId="{D04FFF80-C1C3-BF4B-93D4-DBBC1D908BF4}" type="pres">
      <dgm:prSet presAssocID="{36B41DC7-3EF6-0E40-8F4C-3502B387823C}" presName="Name19" presStyleLbl="parChTrans1D2" presStyleIdx="1" presStyleCnt="2"/>
      <dgm:spPr/>
    </dgm:pt>
    <dgm:pt modelId="{329781DA-6085-484C-9CF1-EB475763272F}" type="pres">
      <dgm:prSet presAssocID="{59F14404-5EE8-934C-9958-0F885F92CF19}" presName="Name21" presStyleCnt="0"/>
      <dgm:spPr/>
    </dgm:pt>
    <dgm:pt modelId="{DD78EE6E-D9B4-C24C-B6C6-BE37C49317B5}" type="pres">
      <dgm:prSet presAssocID="{59F14404-5EE8-934C-9958-0F885F92CF19}" presName="level2Shape" presStyleLbl="node2" presStyleIdx="1" presStyleCnt="2" custScaleX="396096" custScaleY="90702"/>
      <dgm:spPr/>
    </dgm:pt>
    <dgm:pt modelId="{2B8E8B95-7E06-C043-ADA9-DD87B68AE53A}" type="pres">
      <dgm:prSet presAssocID="{59F14404-5EE8-934C-9958-0F885F92CF19}" presName="hierChild3" presStyleCnt="0"/>
      <dgm:spPr/>
    </dgm:pt>
    <dgm:pt modelId="{EC3D5994-BA99-4942-8F70-615C36257BF7}" type="pres">
      <dgm:prSet presAssocID="{82B243DD-4FDD-C347-BFB2-BF9465DD3BE9}" presName="Name19" presStyleLbl="parChTrans1D3" presStyleIdx="2" presStyleCnt="4"/>
      <dgm:spPr/>
    </dgm:pt>
    <dgm:pt modelId="{984EDA54-DE14-CB45-923F-3F3154D735E0}" type="pres">
      <dgm:prSet presAssocID="{B075096D-0660-AE4E-92AE-C6B6A93F453D}" presName="Name21" presStyleCnt="0"/>
      <dgm:spPr/>
    </dgm:pt>
    <dgm:pt modelId="{EAE4FF44-FA84-F048-BFB3-C29E14942318}" type="pres">
      <dgm:prSet presAssocID="{B075096D-0660-AE4E-92AE-C6B6A93F453D}" presName="level2Shape" presStyleLbl="node3" presStyleIdx="2" presStyleCnt="4" custScaleX="298839" custScaleY="137254"/>
      <dgm:spPr/>
    </dgm:pt>
    <dgm:pt modelId="{93A2D873-875C-EF44-A496-D1E5A625C21F}" type="pres">
      <dgm:prSet presAssocID="{B075096D-0660-AE4E-92AE-C6B6A93F453D}" presName="hierChild3" presStyleCnt="0"/>
      <dgm:spPr/>
    </dgm:pt>
    <dgm:pt modelId="{EAE133AC-9CB1-5B41-9946-344F4D323300}" type="pres">
      <dgm:prSet presAssocID="{926BE3B5-4461-6447-8707-89328D0C4645}" presName="Name19" presStyleLbl="parChTrans1D4" presStyleIdx="4" presStyleCnt="8"/>
      <dgm:spPr/>
    </dgm:pt>
    <dgm:pt modelId="{49EECDEB-5D30-C548-B171-68F8E7E53572}" type="pres">
      <dgm:prSet presAssocID="{BA7798E2-24DF-7C4B-8C16-469AD434E19B}" presName="Name21" presStyleCnt="0"/>
      <dgm:spPr/>
    </dgm:pt>
    <dgm:pt modelId="{24B03926-50E8-8E4E-9986-80FBA45D74B4}" type="pres">
      <dgm:prSet presAssocID="{BA7798E2-24DF-7C4B-8C16-469AD434E19B}" presName="level2Shape" presStyleLbl="node4" presStyleIdx="4" presStyleCnt="8" custScaleX="107112" custScaleY="116286"/>
      <dgm:spPr/>
    </dgm:pt>
    <dgm:pt modelId="{AFAFE480-4FCB-7443-A15A-8CAC094CB502}" type="pres">
      <dgm:prSet presAssocID="{BA7798E2-24DF-7C4B-8C16-469AD434E19B}" presName="hierChild3" presStyleCnt="0"/>
      <dgm:spPr/>
    </dgm:pt>
    <dgm:pt modelId="{0B5B37C5-7280-1D49-961A-B66F76DA1E1E}" type="pres">
      <dgm:prSet presAssocID="{6329B37F-7535-1D45-A82A-B9A37F5770A3}" presName="Name19" presStyleLbl="parChTrans1D4" presStyleIdx="5" presStyleCnt="8"/>
      <dgm:spPr/>
    </dgm:pt>
    <dgm:pt modelId="{293FE6A9-8571-2949-908C-B7AFAEB0DFFE}" type="pres">
      <dgm:prSet presAssocID="{BE7F15F7-961A-AE4D-A465-B03F23001FE8}" presName="Name21" presStyleCnt="0"/>
      <dgm:spPr/>
    </dgm:pt>
    <dgm:pt modelId="{850E6A18-7A96-DB41-94DB-B88F07FA3EF5}" type="pres">
      <dgm:prSet presAssocID="{BE7F15F7-961A-AE4D-A465-B03F23001FE8}" presName="level2Shape" presStyleLbl="node4" presStyleIdx="5" presStyleCnt="8" custScaleX="106782" custScaleY="116286"/>
      <dgm:spPr/>
    </dgm:pt>
    <dgm:pt modelId="{9642C81E-6ABB-E24A-8F33-E31EEDFF0D4A}" type="pres">
      <dgm:prSet presAssocID="{BE7F15F7-961A-AE4D-A465-B03F23001FE8}" presName="hierChild3" presStyleCnt="0"/>
      <dgm:spPr/>
    </dgm:pt>
    <dgm:pt modelId="{DF957434-DF12-E345-86D7-ADDAE3BABABA}" type="pres">
      <dgm:prSet presAssocID="{29BE1D2B-D94B-AB44-8BA8-A4C6142F00DE}" presName="Name19" presStyleLbl="parChTrans1D3" presStyleIdx="3" presStyleCnt="4"/>
      <dgm:spPr/>
    </dgm:pt>
    <dgm:pt modelId="{1EE183CC-248B-FC4E-B877-1F29A32272B4}" type="pres">
      <dgm:prSet presAssocID="{826008A5-6752-6747-A748-5CF80D5972B9}" presName="Name21" presStyleCnt="0"/>
      <dgm:spPr/>
    </dgm:pt>
    <dgm:pt modelId="{EFBD8330-0EBD-074B-9EE3-26B81B4C50DA}" type="pres">
      <dgm:prSet presAssocID="{826008A5-6752-6747-A748-5CF80D5972B9}" presName="level2Shape" presStyleLbl="node3" presStyleIdx="3" presStyleCnt="4" custScaleX="263890" custScaleY="121859"/>
      <dgm:spPr/>
    </dgm:pt>
    <dgm:pt modelId="{7E2435DC-6F26-3D4E-982E-B3D2B2E1EA7C}" type="pres">
      <dgm:prSet presAssocID="{826008A5-6752-6747-A748-5CF80D5972B9}" presName="hierChild3" presStyleCnt="0"/>
      <dgm:spPr/>
    </dgm:pt>
    <dgm:pt modelId="{327DB59E-2C06-7842-A715-028DD0A5F6CA}" type="pres">
      <dgm:prSet presAssocID="{C7040FCB-3793-794B-8385-6D371784BC75}" presName="Name19" presStyleLbl="parChTrans1D4" presStyleIdx="6" presStyleCnt="8"/>
      <dgm:spPr/>
    </dgm:pt>
    <dgm:pt modelId="{65D6E8DC-D3A6-774E-8E7C-82D41E47609C}" type="pres">
      <dgm:prSet presAssocID="{256CEFF4-BED4-6343-A20E-FCA92564F0F8}" presName="Name21" presStyleCnt="0"/>
      <dgm:spPr/>
    </dgm:pt>
    <dgm:pt modelId="{5ABAFB5E-6499-CF4F-857E-2C4570A333D4}" type="pres">
      <dgm:prSet presAssocID="{256CEFF4-BED4-6343-A20E-FCA92564F0F8}" presName="level2Shape" presStyleLbl="node4" presStyleIdx="6" presStyleCnt="8" custScaleX="106795" custScaleY="118541"/>
      <dgm:spPr/>
    </dgm:pt>
    <dgm:pt modelId="{8ED319A0-DD5E-2A45-A7E8-2F4BB4D71607}" type="pres">
      <dgm:prSet presAssocID="{256CEFF4-BED4-6343-A20E-FCA92564F0F8}" presName="hierChild3" presStyleCnt="0"/>
      <dgm:spPr/>
    </dgm:pt>
    <dgm:pt modelId="{3E525824-9752-0641-8F58-74EB6E2657D6}" type="pres">
      <dgm:prSet presAssocID="{EF7B509C-D29A-764A-96A1-0E4301E1401C}" presName="Name19" presStyleLbl="parChTrans1D4" presStyleIdx="7" presStyleCnt="8"/>
      <dgm:spPr/>
    </dgm:pt>
    <dgm:pt modelId="{44A8B3F9-8016-B14C-8B73-745CEAE1112C}" type="pres">
      <dgm:prSet presAssocID="{E61ADDA0-3CF3-CE41-B1B4-396E9F472B62}" presName="Name21" presStyleCnt="0"/>
      <dgm:spPr/>
    </dgm:pt>
    <dgm:pt modelId="{BF2E9742-AD2A-C147-9AA2-E39FB9A3E90E}" type="pres">
      <dgm:prSet presAssocID="{E61ADDA0-3CF3-CE41-B1B4-396E9F472B62}" presName="level2Shape" presStyleLbl="node4" presStyleIdx="7" presStyleCnt="8" custScaleX="107154" custScaleY="118252"/>
      <dgm:spPr/>
    </dgm:pt>
    <dgm:pt modelId="{302E5B5F-78BB-174C-82B9-25A59FE55D20}" type="pres">
      <dgm:prSet presAssocID="{E61ADDA0-3CF3-CE41-B1B4-396E9F472B62}" presName="hierChild3" presStyleCnt="0"/>
      <dgm:spPr/>
    </dgm:pt>
    <dgm:pt modelId="{0F8FCD08-4226-3340-86C8-477B4E0F7C14}" type="pres">
      <dgm:prSet presAssocID="{BC6A9E1F-3F55-6948-8DD1-06D16DB0984E}" presName="bgShapesFlow" presStyleCnt="0"/>
      <dgm:spPr/>
    </dgm:pt>
  </dgm:ptLst>
  <dgm:cxnLst>
    <dgm:cxn modelId="{086B8C02-501B-AD43-BCD4-D9B6F6B2A495}" type="presOf" srcId="{C7040FCB-3793-794B-8385-6D371784BC75}" destId="{327DB59E-2C06-7842-A715-028DD0A5F6CA}" srcOrd="0" destOrd="0" presId="urn:microsoft.com/office/officeart/2005/8/layout/hierarchy6"/>
    <dgm:cxn modelId="{5F24100D-04AC-0043-93C3-5864B15B66A4}" type="presOf" srcId="{BC6A9E1F-3F55-6948-8DD1-06D16DB0984E}" destId="{0FE23C50-951D-444A-8439-0626292E4F6A}" srcOrd="0" destOrd="0" presId="urn:microsoft.com/office/officeart/2005/8/layout/hierarchy6"/>
    <dgm:cxn modelId="{718F231E-ADE0-5B43-ADF2-1BF239856B29}" type="presOf" srcId="{926BE3B5-4461-6447-8707-89328D0C4645}" destId="{EAE133AC-9CB1-5B41-9946-344F4D323300}" srcOrd="0" destOrd="0" presId="urn:microsoft.com/office/officeart/2005/8/layout/hierarchy6"/>
    <dgm:cxn modelId="{67360222-F38C-5949-880C-28038A58A55E}" srcId="{B075096D-0660-AE4E-92AE-C6B6A93F453D}" destId="{BA7798E2-24DF-7C4B-8C16-469AD434E19B}" srcOrd="0" destOrd="0" parTransId="{926BE3B5-4461-6447-8707-89328D0C4645}" sibTransId="{B51053F4-359C-494A-95C3-4D7871DB1365}"/>
    <dgm:cxn modelId="{98543124-29F6-CB4C-89CD-9CED0BBCEF11}" srcId="{B075096D-0660-AE4E-92AE-C6B6A93F453D}" destId="{BE7F15F7-961A-AE4D-A465-B03F23001FE8}" srcOrd="1" destOrd="0" parTransId="{6329B37F-7535-1D45-A82A-B9A37F5770A3}" sibTransId="{89CB5B7F-9939-FC44-84CF-628C41F330E7}"/>
    <dgm:cxn modelId="{C9136A26-D2C0-A54A-8A0D-89066CE2F6AA}" type="presOf" srcId="{DD247D37-C41D-8A4A-BBE5-2BE231993BE2}" destId="{8FD61117-8698-FC4B-B424-68172C46411B}" srcOrd="0" destOrd="0" presId="urn:microsoft.com/office/officeart/2005/8/layout/hierarchy6"/>
    <dgm:cxn modelId="{4A885427-0BBB-EC48-AD47-AA75737B6E4D}" type="presOf" srcId="{2F02E5D0-7EC5-D64D-85D9-465CB25D60DC}" destId="{BCD8829A-DA0E-194D-B569-47151CE927AD}" srcOrd="0" destOrd="0" presId="urn:microsoft.com/office/officeart/2005/8/layout/hierarchy6"/>
    <dgm:cxn modelId="{21840A2F-9FE3-8D4A-AA9E-9656F16EE3B4}" type="presOf" srcId="{7F231FFA-A5D1-0640-8BD1-01FEF916EED6}" destId="{2E26E046-F483-904C-8AC5-06382BFD858B}" srcOrd="0" destOrd="0" presId="urn:microsoft.com/office/officeart/2005/8/layout/hierarchy6"/>
    <dgm:cxn modelId="{C67D4B34-10D8-FA41-BDC4-B47C5E686454}" srcId="{BC6A9E1F-3F55-6948-8DD1-06D16DB0984E}" destId="{2F02E5D0-7EC5-D64D-85D9-465CB25D60DC}" srcOrd="0" destOrd="0" parTransId="{267B315C-FEA2-0641-A072-4510D528B9CD}" sibTransId="{3AFADA97-1DC8-BE41-8F0D-971211739DAF}"/>
    <dgm:cxn modelId="{CA46003A-F21E-3B4A-AB63-5C9EBA2CE27F}" srcId="{59F14404-5EE8-934C-9958-0F885F92CF19}" destId="{B075096D-0660-AE4E-92AE-C6B6A93F453D}" srcOrd="0" destOrd="0" parTransId="{82B243DD-4FDD-C347-BFB2-BF9465DD3BE9}" sibTransId="{2E70F6E5-6ABA-9D43-A3B3-2A33950E5D50}"/>
    <dgm:cxn modelId="{CC09E542-4EEE-E442-AE59-9EDBB5156F54}" type="presOf" srcId="{256CEFF4-BED4-6343-A20E-FCA92564F0F8}" destId="{5ABAFB5E-6499-CF4F-857E-2C4570A333D4}" srcOrd="0" destOrd="0" presId="urn:microsoft.com/office/officeart/2005/8/layout/hierarchy6"/>
    <dgm:cxn modelId="{53FA294A-DE2C-EC42-9C84-5E49BF179172}" srcId="{20862952-E6C1-0A4B-995D-19252DF0BE5A}" destId="{9C7252C8-AC2E-5C41-8522-8E1F105A83F1}" srcOrd="0" destOrd="0" parTransId="{7F231FFA-A5D1-0640-8BD1-01FEF916EED6}" sibTransId="{A059B814-1B3E-3348-A55B-8A1136AF9CAD}"/>
    <dgm:cxn modelId="{9976F551-73D9-394E-B3FC-6077ADF7DAD1}" type="presOf" srcId="{DCC8E1B7-D5BA-1E4F-86D0-445378426917}" destId="{7076C335-D55D-7C4A-85B4-E3932A595267}" srcOrd="0" destOrd="0" presId="urn:microsoft.com/office/officeart/2005/8/layout/hierarchy6"/>
    <dgm:cxn modelId="{0C760357-5B6C-A540-A625-18304AA20476}" srcId="{E50CB4B0-FE21-7A4E-94F6-E80C09AE0721}" destId="{917BB7BF-2E2E-8C44-A239-C1D6041F02EE}" srcOrd="1" destOrd="0" parTransId="{3164047D-A047-2E48-A314-1BDDD433F846}" sibTransId="{791F95C2-4D1A-DB40-AEC7-B50FA371A186}"/>
    <dgm:cxn modelId="{A474BA5A-8892-7343-BE16-73B718AEC9C5}" type="presOf" srcId="{9C7252C8-AC2E-5C41-8522-8E1F105A83F1}" destId="{F75E9C67-6F84-0946-AA2D-978853723A22}" srcOrd="0" destOrd="0" presId="urn:microsoft.com/office/officeart/2005/8/layout/hierarchy6"/>
    <dgm:cxn modelId="{E6E7C85B-01FC-9D48-A5F5-BA6CFCA41B8C}" type="presOf" srcId="{3164047D-A047-2E48-A314-1BDDD433F846}" destId="{0DB341B2-6527-B14F-8EA0-0265DC3480D2}" srcOrd="0" destOrd="0" presId="urn:microsoft.com/office/officeart/2005/8/layout/hierarchy6"/>
    <dgm:cxn modelId="{243C5675-5850-2D46-AD92-EC8CD3FD0D2F}" type="presOf" srcId="{BE7F15F7-961A-AE4D-A465-B03F23001FE8}" destId="{850E6A18-7A96-DB41-94DB-B88F07FA3EF5}" srcOrd="0" destOrd="0" presId="urn:microsoft.com/office/officeart/2005/8/layout/hierarchy6"/>
    <dgm:cxn modelId="{5B491E77-D385-7E46-96D5-71EC0BF22B51}" srcId="{47A46CF3-8EAE-494A-9765-469CC2EE366F}" destId="{20862952-E6C1-0A4B-995D-19252DF0BE5A}" srcOrd="0" destOrd="0" parTransId="{330A8959-A2F7-634B-9EC0-FEFF8BB2BA03}" sibTransId="{646BAA4B-97E0-254E-87ED-6D32B425FA06}"/>
    <dgm:cxn modelId="{7DBCE178-8638-9345-A844-F04C1068B70B}" type="presOf" srcId="{330A8959-A2F7-634B-9EC0-FEFF8BB2BA03}" destId="{AE32C903-C78E-8041-AEA7-D4A81FD521FC}" srcOrd="0" destOrd="0" presId="urn:microsoft.com/office/officeart/2005/8/layout/hierarchy6"/>
    <dgm:cxn modelId="{4992157B-604D-824A-A056-8E1BDBD2D13D}" type="presOf" srcId="{29BE1D2B-D94B-AB44-8BA8-A4C6142F00DE}" destId="{DF957434-DF12-E345-86D7-ADDAE3BABABA}" srcOrd="0" destOrd="0" presId="urn:microsoft.com/office/officeart/2005/8/layout/hierarchy6"/>
    <dgm:cxn modelId="{5C98DE7F-2AE6-8E4B-9A49-C38524479E64}" type="presOf" srcId="{59F14404-5EE8-934C-9958-0F885F92CF19}" destId="{DD78EE6E-D9B4-C24C-B6C6-BE37C49317B5}" srcOrd="0" destOrd="0" presId="urn:microsoft.com/office/officeart/2005/8/layout/hierarchy6"/>
    <dgm:cxn modelId="{0BA0FA7F-F2CD-E942-A9FA-8DFC76D5A167}" srcId="{826008A5-6752-6747-A748-5CF80D5972B9}" destId="{E61ADDA0-3CF3-CE41-B1B4-396E9F472B62}" srcOrd="1" destOrd="0" parTransId="{EF7B509C-D29A-764A-96A1-0E4301E1401C}" sibTransId="{7448DA34-D230-1248-995B-52A26B92BAA4}"/>
    <dgm:cxn modelId="{2F22878F-8B65-C841-BE00-CA26A9A7106E}" type="presOf" srcId="{86164F3E-FEDA-AE45-BEFF-13AD10703E3C}" destId="{82A5728C-2650-FB49-A790-DDC050F80564}" srcOrd="0" destOrd="0" presId="urn:microsoft.com/office/officeart/2005/8/layout/hierarchy6"/>
    <dgm:cxn modelId="{8817C497-2CF1-5547-AA50-61F2EF282DFC}" type="presOf" srcId="{BA7798E2-24DF-7C4B-8C16-469AD434E19B}" destId="{24B03926-50E8-8E4E-9986-80FBA45D74B4}" srcOrd="0" destOrd="0" presId="urn:microsoft.com/office/officeart/2005/8/layout/hierarchy6"/>
    <dgm:cxn modelId="{B3BC9F99-FED4-1E4F-A279-996C8A85A92E}" type="presOf" srcId="{20862952-E6C1-0A4B-995D-19252DF0BE5A}" destId="{9DC7EDB2-8104-4C4E-89B6-F093DFC12E18}" srcOrd="0" destOrd="0" presId="urn:microsoft.com/office/officeart/2005/8/layout/hierarchy6"/>
    <dgm:cxn modelId="{6DB3339D-43C5-3D4E-90AD-80B5FE65F4CF}" type="presOf" srcId="{E50CB4B0-FE21-7A4E-94F6-E80C09AE0721}" destId="{F9B32469-29E3-964B-8ACB-564655212EB6}" srcOrd="0" destOrd="0" presId="urn:microsoft.com/office/officeart/2005/8/layout/hierarchy6"/>
    <dgm:cxn modelId="{38BE6DA4-8165-0641-8181-7C8A42781148}" srcId="{826008A5-6752-6747-A748-5CF80D5972B9}" destId="{256CEFF4-BED4-6343-A20E-FCA92564F0F8}" srcOrd="0" destOrd="0" parTransId="{C7040FCB-3793-794B-8385-6D371784BC75}" sibTransId="{31FAC942-0653-1141-9F56-B40CC2857A54}"/>
    <dgm:cxn modelId="{E88F8EA7-2BAE-084B-8C46-711E3D10E96B}" type="presOf" srcId="{BDCC0D45-CDC9-F44E-ABE4-61F981DD132F}" destId="{FE63C2B5-F0FA-7344-AB55-E32CEBDBEB55}" srcOrd="0" destOrd="0" presId="urn:microsoft.com/office/officeart/2005/8/layout/hierarchy6"/>
    <dgm:cxn modelId="{4BD123AC-5202-FA45-B72D-509A9C3EA219}" type="presOf" srcId="{6329B37F-7535-1D45-A82A-B9A37F5770A3}" destId="{0B5B37C5-7280-1D49-961A-B66F76DA1E1E}" srcOrd="0" destOrd="0" presId="urn:microsoft.com/office/officeart/2005/8/layout/hierarchy6"/>
    <dgm:cxn modelId="{0419C8B0-F037-6E49-91C4-B55F9A00F13A}" type="presOf" srcId="{DDF11C02-C18E-4446-9B23-885AEAFACBDC}" destId="{7E14B495-228B-C64F-A79D-5061A6B2AC3A}" srcOrd="0" destOrd="0" presId="urn:microsoft.com/office/officeart/2005/8/layout/hierarchy6"/>
    <dgm:cxn modelId="{400F35B3-0738-7C4E-91B3-25F978068128}" type="presOf" srcId="{82B243DD-4FDD-C347-BFB2-BF9465DD3BE9}" destId="{EC3D5994-BA99-4942-8F70-615C36257BF7}" srcOrd="0" destOrd="0" presId="urn:microsoft.com/office/officeart/2005/8/layout/hierarchy6"/>
    <dgm:cxn modelId="{19A702B5-CD1A-AE4D-9BFC-6F4F730E6F62}" type="presOf" srcId="{EF7B509C-D29A-764A-96A1-0E4301E1401C}" destId="{3E525824-9752-0641-8F58-74EB6E2657D6}" srcOrd="0" destOrd="0" presId="urn:microsoft.com/office/officeart/2005/8/layout/hierarchy6"/>
    <dgm:cxn modelId="{BC3072BB-9581-6E4B-B21F-516E3CF75A50}" type="presOf" srcId="{917BB7BF-2E2E-8C44-A239-C1D6041F02EE}" destId="{C02C9C9D-AAE6-E446-B1ED-8E68150903F3}" srcOrd="0" destOrd="0" presId="urn:microsoft.com/office/officeart/2005/8/layout/hierarchy6"/>
    <dgm:cxn modelId="{C45CBBC4-ACCA-4A49-99DA-BF997EA8974C}" type="presOf" srcId="{3FC0AB53-3584-E445-A037-673FEE7CFC2D}" destId="{6DD758F6-2CA9-C345-858A-DD7829F2A6EB}" srcOrd="0" destOrd="0" presId="urn:microsoft.com/office/officeart/2005/8/layout/hierarchy6"/>
    <dgm:cxn modelId="{B644FDC4-270E-124A-BDB3-2493D613A468}" srcId="{20862952-E6C1-0A4B-995D-19252DF0BE5A}" destId="{BDCC0D45-CDC9-F44E-ABE4-61F981DD132F}" srcOrd="1" destOrd="0" parTransId="{DD247D37-C41D-8A4A-BBE5-2BE231993BE2}" sibTransId="{7F1A0294-2F1D-874E-A527-99EE9FDC31A7}"/>
    <dgm:cxn modelId="{6C4C86C7-3639-5345-AD86-4954857A3D90}" srcId="{2F02E5D0-7EC5-D64D-85D9-465CB25D60DC}" destId="{47A46CF3-8EAE-494A-9765-469CC2EE366F}" srcOrd="0" destOrd="0" parTransId="{DCC8E1B7-D5BA-1E4F-86D0-445378426917}" sibTransId="{E0103A2B-159E-F14D-9A15-2792CB9C9257}"/>
    <dgm:cxn modelId="{99844FCB-7A12-D943-A506-F0A970CF161D}" srcId="{59F14404-5EE8-934C-9958-0F885F92CF19}" destId="{826008A5-6752-6747-A748-5CF80D5972B9}" srcOrd="1" destOrd="0" parTransId="{29BE1D2B-D94B-AB44-8BA8-A4C6142F00DE}" sibTransId="{024FD4D1-332C-6C40-A8D5-66910989550D}"/>
    <dgm:cxn modelId="{0E36F3D9-8D17-F141-81EF-05CDA20661F5}" type="presOf" srcId="{E61ADDA0-3CF3-CE41-B1B4-396E9F472B62}" destId="{BF2E9742-AD2A-C147-9AA2-E39FB9A3E90E}" srcOrd="0" destOrd="0" presId="urn:microsoft.com/office/officeart/2005/8/layout/hierarchy6"/>
    <dgm:cxn modelId="{99D976DF-809B-3C4E-A35D-F8157F454720}" srcId="{47A46CF3-8EAE-494A-9765-469CC2EE366F}" destId="{E50CB4B0-FE21-7A4E-94F6-E80C09AE0721}" srcOrd="1" destOrd="0" parTransId="{3FC0AB53-3584-E445-A037-673FEE7CFC2D}" sibTransId="{037A03D7-926D-AD4E-8CEA-1F7FC51DBA42}"/>
    <dgm:cxn modelId="{8B4923E4-7707-014C-9F63-84939A7C4A55}" type="presOf" srcId="{826008A5-6752-6747-A748-5CF80D5972B9}" destId="{EFBD8330-0EBD-074B-9EE3-26B81B4C50DA}" srcOrd="0" destOrd="0" presId="urn:microsoft.com/office/officeart/2005/8/layout/hierarchy6"/>
    <dgm:cxn modelId="{30DB85E7-1465-3549-A398-A5DF6A29337E}" type="presOf" srcId="{B075096D-0660-AE4E-92AE-C6B6A93F453D}" destId="{EAE4FF44-FA84-F048-BFB3-C29E14942318}" srcOrd="0" destOrd="0" presId="urn:microsoft.com/office/officeart/2005/8/layout/hierarchy6"/>
    <dgm:cxn modelId="{41FD30E9-5645-3342-8E13-A7A51F3A0FF5}" srcId="{E50CB4B0-FE21-7A4E-94F6-E80C09AE0721}" destId="{DDF11C02-C18E-4446-9B23-885AEAFACBDC}" srcOrd="0" destOrd="0" parTransId="{86164F3E-FEDA-AE45-BEFF-13AD10703E3C}" sibTransId="{5A31EF7B-FBFC-304A-8CDA-A20F064CA48D}"/>
    <dgm:cxn modelId="{38B7FAED-693B-C44A-9F64-D77C66A743EB}" srcId="{2F02E5D0-7EC5-D64D-85D9-465CB25D60DC}" destId="{59F14404-5EE8-934C-9958-0F885F92CF19}" srcOrd="1" destOrd="0" parTransId="{36B41DC7-3EF6-0E40-8F4C-3502B387823C}" sibTransId="{27541394-F788-9F49-9B9F-C58D9433FBD0}"/>
    <dgm:cxn modelId="{4B4430F5-D15C-F543-B6BC-5E38E0860CE3}" type="presOf" srcId="{36B41DC7-3EF6-0E40-8F4C-3502B387823C}" destId="{D04FFF80-C1C3-BF4B-93D4-DBBC1D908BF4}" srcOrd="0" destOrd="0" presId="urn:microsoft.com/office/officeart/2005/8/layout/hierarchy6"/>
    <dgm:cxn modelId="{2CCD73F6-ED63-5D40-8C78-B1F5DB39939C}" type="presOf" srcId="{47A46CF3-8EAE-494A-9765-469CC2EE366F}" destId="{AF31666E-0363-E241-AD9D-5F130ACD55EA}" srcOrd="0" destOrd="0" presId="urn:microsoft.com/office/officeart/2005/8/layout/hierarchy6"/>
    <dgm:cxn modelId="{A12A3C96-CC6A-0A4B-B339-0FE35B696516}" type="presParOf" srcId="{0FE23C50-951D-444A-8439-0626292E4F6A}" destId="{CD03A0D2-3EA7-7943-A2BF-4B1A8B1EAFC3}" srcOrd="0" destOrd="0" presId="urn:microsoft.com/office/officeart/2005/8/layout/hierarchy6"/>
    <dgm:cxn modelId="{0129C110-AF66-1948-84A7-E3D882C35917}" type="presParOf" srcId="{CD03A0D2-3EA7-7943-A2BF-4B1A8B1EAFC3}" destId="{58BE1284-3C28-DF4B-BA3E-312F21ED8C64}" srcOrd="0" destOrd="0" presId="urn:microsoft.com/office/officeart/2005/8/layout/hierarchy6"/>
    <dgm:cxn modelId="{E9CC8A7C-531B-BA4E-B7C9-C29C3F00814B}" type="presParOf" srcId="{58BE1284-3C28-DF4B-BA3E-312F21ED8C64}" destId="{B85F6CB4-1470-3345-9749-89730A75CC20}" srcOrd="0" destOrd="0" presId="urn:microsoft.com/office/officeart/2005/8/layout/hierarchy6"/>
    <dgm:cxn modelId="{BC3CF8BD-D06E-A34C-90A0-E6A1B8D90A6F}" type="presParOf" srcId="{B85F6CB4-1470-3345-9749-89730A75CC20}" destId="{BCD8829A-DA0E-194D-B569-47151CE927AD}" srcOrd="0" destOrd="0" presId="urn:microsoft.com/office/officeart/2005/8/layout/hierarchy6"/>
    <dgm:cxn modelId="{2FAB41B5-08D9-D343-A623-A2AEF593F232}" type="presParOf" srcId="{B85F6CB4-1470-3345-9749-89730A75CC20}" destId="{E34D7DA2-9B93-EE4B-A316-868513165F9D}" srcOrd="1" destOrd="0" presId="urn:microsoft.com/office/officeart/2005/8/layout/hierarchy6"/>
    <dgm:cxn modelId="{14C4819A-5C32-AF41-892D-B8FE437D585C}" type="presParOf" srcId="{E34D7DA2-9B93-EE4B-A316-868513165F9D}" destId="{7076C335-D55D-7C4A-85B4-E3932A595267}" srcOrd="0" destOrd="0" presId="urn:microsoft.com/office/officeart/2005/8/layout/hierarchy6"/>
    <dgm:cxn modelId="{F1C83053-1B76-7949-8E69-0D6528F21B82}" type="presParOf" srcId="{E34D7DA2-9B93-EE4B-A316-868513165F9D}" destId="{D7939F69-F42F-7C4D-977F-304912B01D7B}" srcOrd="1" destOrd="0" presId="urn:microsoft.com/office/officeart/2005/8/layout/hierarchy6"/>
    <dgm:cxn modelId="{B549B9A4-971C-3540-AFC6-9332F30E0AD4}" type="presParOf" srcId="{D7939F69-F42F-7C4D-977F-304912B01D7B}" destId="{AF31666E-0363-E241-AD9D-5F130ACD55EA}" srcOrd="0" destOrd="0" presId="urn:microsoft.com/office/officeart/2005/8/layout/hierarchy6"/>
    <dgm:cxn modelId="{2C48ECE4-9757-0543-9635-1C495C014788}" type="presParOf" srcId="{D7939F69-F42F-7C4D-977F-304912B01D7B}" destId="{334A9D5A-45E4-0545-B11B-8A53A60EF0AD}" srcOrd="1" destOrd="0" presId="urn:microsoft.com/office/officeart/2005/8/layout/hierarchy6"/>
    <dgm:cxn modelId="{B062E97F-34F0-4D4F-BB26-6A163620AD8F}" type="presParOf" srcId="{334A9D5A-45E4-0545-B11B-8A53A60EF0AD}" destId="{AE32C903-C78E-8041-AEA7-D4A81FD521FC}" srcOrd="0" destOrd="0" presId="urn:microsoft.com/office/officeart/2005/8/layout/hierarchy6"/>
    <dgm:cxn modelId="{BD5F3962-1F3D-AF45-99CA-19388CB90E01}" type="presParOf" srcId="{334A9D5A-45E4-0545-B11B-8A53A60EF0AD}" destId="{B3E79171-E4A0-E641-BD04-A25B543D94DA}" srcOrd="1" destOrd="0" presId="urn:microsoft.com/office/officeart/2005/8/layout/hierarchy6"/>
    <dgm:cxn modelId="{7BB92772-81D6-0C41-BCC4-FD7A10C62281}" type="presParOf" srcId="{B3E79171-E4A0-E641-BD04-A25B543D94DA}" destId="{9DC7EDB2-8104-4C4E-89B6-F093DFC12E18}" srcOrd="0" destOrd="0" presId="urn:microsoft.com/office/officeart/2005/8/layout/hierarchy6"/>
    <dgm:cxn modelId="{BFEB806C-0F0E-3B45-9AE9-B421ABD745B9}" type="presParOf" srcId="{B3E79171-E4A0-E641-BD04-A25B543D94DA}" destId="{D00B79FC-EA86-3F41-8659-ACAA78D818F8}" srcOrd="1" destOrd="0" presId="urn:microsoft.com/office/officeart/2005/8/layout/hierarchy6"/>
    <dgm:cxn modelId="{F5AC5FBA-0257-AD48-9161-6B52E22A95DB}" type="presParOf" srcId="{D00B79FC-EA86-3F41-8659-ACAA78D818F8}" destId="{2E26E046-F483-904C-8AC5-06382BFD858B}" srcOrd="0" destOrd="0" presId="urn:microsoft.com/office/officeart/2005/8/layout/hierarchy6"/>
    <dgm:cxn modelId="{DE070CAA-EFD1-7846-B853-1A5C5C5F0C5E}" type="presParOf" srcId="{D00B79FC-EA86-3F41-8659-ACAA78D818F8}" destId="{5CAE9BFF-1292-3C4C-8191-A033B5021305}" srcOrd="1" destOrd="0" presId="urn:microsoft.com/office/officeart/2005/8/layout/hierarchy6"/>
    <dgm:cxn modelId="{75F89648-4C16-CA42-A370-9E32BA4FF7F8}" type="presParOf" srcId="{5CAE9BFF-1292-3C4C-8191-A033B5021305}" destId="{F75E9C67-6F84-0946-AA2D-978853723A22}" srcOrd="0" destOrd="0" presId="urn:microsoft.com/office/officeart/2005/8/layout/hierarchy6"/>
    <dgm:cxn modelId="{CD97D332-B080-2E43-976A-3E5F17BB0011}" type="presParOf" srcId="{5CAE9BFF-1292-3C4C-8191-A033B5021305}" destId="{61F6C453-A787-C947-A8C4-BAAB3480648B}" srcOrd="1" destOrd="0" presId="urn:microsoft.com/office/officeart/2005/8/layout/hierarchy6"/>
    <dgm:cxn modelId="{8F9AB26C-870C-FD4F-BB1E-67AFE2F0F8DA}" type="presParOf" srcId="{D00B79FC-EA86-3F41-8659-ACAA78D818F8}" destId="{8FD61117-8698-FC4B-B424-68172C46411B}" srcOrd="2" destOrd="0" presId="urn:microsoft.com/office/officeart/2005/8/layout/hierarchy6"/>
    <dgm:cxn modelId="{3DF89DAA-7C66-6B44-8361-DEF2695614D4}" type="presParOf" srcId="{D00B79FC-EA86-3F41-8659-ACAA78D818F8}" destId="{741B4285-E6A7-A54C-B81C-96194E285FD7}" srcOrd="3" destOrd="0" presId="urn:microsoft.com/office/officeart/2005/8/layout/hierarchy6"/>
    <dgm:cxn modelId="{F1833CCB-9660-CE49-BE42-44F7421F1247}" type="presParOf" srcId="{741B4285-E6A7-A54C-B81C-96194E285FD7}" destId="{FE63C2B5-F0FA-7344-AB55-E32CEBDBEB55}" srcOrd="0" destOrd="0" presId="urn:microsoft.com/office/officeart/2005/8/layout/hierarchy6"/>
    <dgm:cxn modelId="{3E419D8A-1203-6A41-87D4-41FACD717818}" type="presParOf" srcId="{741B4285-E6A7-A54C-B81C-96194E285FD7}" destId="{CA9F0064-A2C2-FC48-ABB8-47F52C705743}" srcOrd="1" destOrd="0" presId="urn:microsoft.com/office/officeart/2005/8/layout/hierarchy6"/>
    <dgm:cxn modelId="{A53EB619-CF8F-FE4E-A595-183041BE801F}" type="presParOf" srcId="{334A9D5A-45E4-0545-B11B-8A53A60EF0AD}" destId="{6DD758F6-2CA9-C345-858A-DD7829F2A6EB}" srcOrd="2" destOrd="0" presId="urn:microsoft.com/office/officeart/2005/8/layout/hierarchy6"/>
    <dgm:cxn modelId="{1493BBB1-8BBF-7542-8D12-B0BC747E3760}" type="presParOf" srcId="{334A9D5A-45E4-0545-B11B-8A53A60EF0AD}" destId="{529E175F-AE6F-0C4D-95C7-2716B40392E1}" srcOrd="3" destOrd="0" presId="urn:microsoft.com/office/officeart/2005/8/layout/hierarchy6"/>
    <dgm:cxn modelId="{AA3C9395-33EC-A44C-9919-B2172ABCDA62}" type="presParOf" srcId="{529E175F-AE6F-0C4D-95C7-2716B40392E1}" destId="{F9B32469-29E3-964B-8ACB-564655212EB6}" srcOrd="0" destOrd="0" presId="urn:microsoft.com/office/officeart/2005/8/layout/hierarchy6"/>
    <dgm:cxn modelId="{51AB7D19-900B-0F44-9335-F858C8EEFA9A}" type="presParOf" srcId="{529E175F-AE6F-0C4D-95C7-2716B40392E1}" destId="{AF10CB20-DD14-2244-A840-BB0110CECBA5}" srcOrd="1" destOrd="0" presId="urn:microsoft.com/office/officeart/2005/8/layout/hierarchy6"/>
    <dgm:cxn modelId="{094153F2-4178-C642-8CF3-15DAF0EB4A4E}" type="presParOf" srcId="{AF10CB20-DD14-2244-A840-BB0110CECBA5}" destId="{82A5728C-2650-FB49-A790-DDC050F80564}" srcOrd="0" destOrd="0" presId="urn:microsoft.com/office/officeart/2005/8/layout/hierarchy6"/>
    <dgm:cxn modelId="{5048C043-ADEC-E045-BEFF-8A1C2BBF86DF}" type="presParOf" srcId="{AF10CB20-DD14-2244-A840-BB0110CECBA5}" destId="{117A05B9-C6FA-E34F-BD2C-2B4A58D0AEEF}" srcOrd="1" destOrd="0" presId="urn:microsoft.com/office/officeart/2005/8/layout/hierarchy6"/>
    <dgm:cxn modelId="{DBDF5249-DA25-764D-B229-C72047004898}" type="presParOf" srcId="{117A05B9-C6FA-E34F-BD2C-2B4A58D0AEEF}" destId="{7E14B495-228B-C64F-A79D-5061A6B2AC3A}" srcOrd="0" destOrd="0" presId="urn:microsoft.com/office/officeart/2005/8/layout/hierarchy6"/>
    <dgm:cxn modelId="{F6A792C4-7242-FF45-8682-DDA603023611}" type="presParOf" srcId="{117A05B9-C6FA-E34F-BD2C-2B4A58D0AEEF}" destId="{E1F90CF8-D537-294D-A3B8-B28C955E63B6}" srcOrd="1" destOrd="0" presId="urn:microsoft.com/office/officeart/2005/8/layout/hierarchy6"/>
    <dgm:cxn modelId="{E7DB3069-686C-3743-91BC-E5692D82C713}" type="presParOf" srcId="{AF10CB20-DD14-2244-A840-BB0110CECBA5}" destId="{0DB341B2-6527-B14F-8EA0-0265DC3480D2}" srcOrd="2" destOrd="0" presId="urn:microsoft.com/office/officeart/2005/8/layout/hierarchy6"/>
    <dgm:cxn modelId="{52A9A8B7-7564-284E-B963-8FA60E3CA51F}" type="presParOf" srcId="{AF10CB20-DD14-2244-A840-BB0110CECBA5}" destId="{FAA32249-8384-9B43-A541-827EE4C04DCC}" srcOrd="3" destOrd="0" presId="urn:microsoft.com/office/officeart/2005/8/layout/hierarchy6"/>
    <dgm:cxn modelId="{69995E37-F24D-624E-99B7-7AD84A5A098B}" type="presParOf" srcId="{FAA32249-8384-9B43-A541-827EE4C04DCC}" destId="{C02C9C9D-AAE6-E446-B1ED-8E68150903F3}" srcOrd="0" destOrd="0" presId="urn:microsoft.com/office/officeart/2005/8/layout/hierarchy6"/>
    <dgm:cxn modelId="{7021CF6A-E898-0D4B-965F-1C9A01F14E85}" type="presParOf" srcId="{FAA32249-8384-9B43-A541-827EE4C04DCC}" destId="{D272B4B1-9D0F-524E-800E-5739A0EFE4F5}" srcOrd="1" destOrd="0" presId="urn:microsoft.com/office/officeart/2005/8/layout/hierarchy6"/>
    <dgm:cxn modelId="{1F88F1B1-99E2-5548-BD30-CA88FF843444}" type="presParOf" srcId="{E34D7DA2-9B93-EE4B-A316-868513165F9D}" destId="{D04FFF80-C1C3-BF4B-93D4-DBBC1D908BF4}" srcOrd="2" destOrd="0" presId="urn:microsoft.com/office/officeart/2005/8/layout/hierarchy6"/>
    <dgm:cxn modelId="{0581813A-5192-3048-9BD3-6D9CEB744778}" type="presParOf" srcId="{E34D7DA2-9B93-EE4B-A316-868513165F9D}" destId="{329781DA-6085-484C-9CF1-EB475763272F}" srcOrd="3" destOrd="0" presId="urn:microsoft.com/office/officeart/2005/8/layout/hierarchy6"/>
    <dgm:cxn modelId="{EBF7E89C-70B5-924F-9C7B-0DDE53301513}" type="presParOf" srcId="{329781DA-6085-484C-9CF1-EB475763272F}" destId="{DD78EE6E-D9B4-C24C-B6C6-BE37C49317B5}" srcOrd="0" destOrd="0" presId="urn:microsoft.com/office/officeart/2005/8/layout/hierarchy6"/>
    <dgm:cxn modelId="{3CA2AE7C-FA25-A345-B9FD-9CF3AA9E4243}" type="presParOf" srcId="{329781DA-6085-484C-9CF1-EB475763272F}" destId="{2B8E8B95-7E06-C043-ADA9-DD87B68AE53A}" srcOrd="1" destOrd="0" presId="urn:microsoft.com/office/officeart/2005/8/layout/hierarchy6"/>
    <dgm:cxn modelId="{6BF4ABDF-EF61-D946-AC43-9CD7AEFB4C6A}" type="presParOf" srcId="{2B8E8B95-7E06-C043-ADA9-DD87B68AE53A}" destId="{EC3D5994-BA99-4942-8F70-615C36257BF7}" srcOrd="0" destOrd="0" presId="urn:microsoft.com/office/officeart/2005/8/layout/hierarchy6"/>
    <dgm:cxn modelId="{89016A3E-A4A8-6443-BB3F-0786E94BD9D9}" type="presParOf" srcId="{2B8E8B95-7E06-C043-ADA9-DD87B68AE53A}" destId="{984EDA54-DE14-CB45-923F-3F3154D735E0}" srcOrd="1" destOrd="0" presId="urn:microsoft.com/office/officeart/2005/8/layout/hierarchy6"/>
    <dgm:cxn modelId="{EAD1863B-4E43-FF4A-A032-E1F75EBCFF3C}" type="presParOf" srcId="{984EDA54-DE14-CB45-923F-3F3154D735E0}" destId="{EAE4FF44-FA84-F048-BFB3-C29E14942318}" srcOrd="0" destOrd="0" presId="urn:microsoft.com/office/officeart/2005/8/layout/hierarchy6"/>
    <dgm:cxn modelId="{F93D6971-19BE-6844-A2E1-5A13446ED6C9}" type="presParOf" srcId="{984EDA54-DE14-CB45-923F-3F3154D735E0}" destId="{93A2D873-875C-EF44-A496-D1E5A625C21F}" srcOrd="1" destOrd="0" presId="urn:microsoft.com/office/officeart/2005/8/layout/hierarchy6"/>
    <dgm:cxn modelId="{1D27D08C-9324-4849-BE77-0B97417643CD}" type="presParOf" srcId="{93A2D873-875C-EF44-A496-D1E5A625C21F}" destId="{EAE133AC-9CB1-5B41-9946-344F4D323300}" srcOrd="0" destOrd="0" presId="urn:microsoft.com/office/officeart/2005/8/layout/hierarchy6"/>
    <dgm:cxn modelId="{C29C5BCE-D224-FE46-8210-E89A0289A76D}" type="presParOf" srcId="{93A2D873-875C-EF44-A496-D1E5A625C21F}" destId="{49EECDEB-5D30-C548-B171-68F8E7E53572}" srcOrd="1" destOrd="0" presId="urn:microsoft.com/office/officeart/2005/8/layout/hierarchy6"/>
    <dgm:cxn modelId="{1907F7F8-33D8-C14F-AC62-542997512A38}" type="presParOf" srcId="{49EECDEB-5D30-C548-B171-68F8E7E53572}" destId="{24B03926-50E8-8E4E-9986-80FBA45D74B4}" srcOrd="0" destOrd="0" presId="urn:microsoft.com/office/officeart/2005/8/layout/hierarchy6"/>
    <dgm:cxn modelId="{C9B13264-DDBC-E946-9FAB-2CD5AF59B94E}" type="presParOf" srcId="{49EECDEB-5D30-C548-B171-68F8E7E53572}" destId="{AFAFE480-4FCB-7443-A15A-8CAC094CB502}" srcOrd="1" destOrd="0" presId="urn:microsoft.com/office/officeart/2005/8/layout/hierarchy6"/>
    <dgm:cxn modelId="{61A7B9F7-6F98-0F41-9606-2682F99D4F71}" type="presParOf" srcId="{93A2D873-875C-EF44-A496-D1E5A625C21F}" destId="{0B5B37C5-7280-1D49-961A-B66F76DA1E1E}" srcOrd="2" destOrd="0" presId="urn:microsoft.com/office/officeart/2005/8/layout/hierarchy6"/>
    <dgm:cxn modelId="{2E18CBA9-A7DB-E248-9695-A60545FFBB96}" type="presParOf" srcId="{93A2D873-875C-EF44-A496-D1E5A625C21F}" destId="{293FE6A9-8571-2949-908C-B7AFAEB0DFFE}" srcOrd="3" destOrd="0" presId="urn:microsoft.com/office/officeart/2005/8/layout/hierarchy6"/>
    <dgm:cxn modelId="{99BDE5BA-2999-4E40-B2E9-CCA3D047C912}" type="presParOf" srcId="{293FE6A9-8571-2949-908C-B7AFAEB0DFFE}" destId="{850E6A18-7A96-DB41-94DB-B88F07FA3EF5}" srcOrd="0" destOrd="0" presId="urn:microsoft.com/office/officeart/2005/8/layout/hierarchy6"/>
    <dgm:cxn modelId="{81F39FF6-52AE-2441-9690-85ED7B782115}" type="presParOf" srcId="{293FE6A9-8571-2949-908C-B7AFAEB0DFFE}" destId="{9642C81E-6ABB-E24A-8F33-E31EEDFF0D4A}" srcOrd="1" destOrd="0" presId="urn:microsoft.com/office/officeart/2005/8/layout/hierarchy6"/>
    <dgm:cxn modelId="{056B9200-84AF-1146-8A81-8D3B80AF5B0F}" type="presParOf" srcId="{2B8E8B95-7E06-C043-ADA9-DD87B68AE53A}" destId="{DF957434-DF12-E345-86D7-ADDAE3BABABA}" srcOrd="2" destOrd="0" presId="urn:microsoft.com/office/officeart/2005/8/layout/hierarchy6"/>
    <dgm:cxn modelId="{ED12BD63-58D2-074D-807E-FEDCC466B439}" type="presParOf" srcId="{2B8E8B95-7E06-C043-ADA9-DD87B68AE53A}" destId="{1EE183CC-248B-FC4E-B877-1F29A32272B4}" srcOrd="3" destOrd="0" presId="urn:microsoft.com/office/officeart/2005/8/layout/hierarchy6"/>
    <dgm:cxn modelId="{3424EB73-2601-0749-9B8C-BE6D17B89414}" type="presParOf" srcId="{1EE183CC-248B-FC4E-B877-1F29A32272B4}" destId="{EFBD8330-0EBD-074B-9EE3-26B81B4C50DA}" srcOrd="0" destOrd="0" presId="urn:microsoft.com/office/officeart/2005/8/layout/hierarchy6"/>
    <dgm:cxn modelId="{D05A1459-A0EA-1640-8A68-E5F3B8F6567D}" type="presParOf" srcId="{1EE183CC-248B-FC4E-B877-1F29A32272B4}" destId="{7E2435DC-6F26-3D4E-982E-B3D2B2E1EA7C}" srcOrd="1" destOrd="0" presId="urn:microsoft.com/office/officeart/2005/8/layout/hierarchy6"/>
    <dgm:cxn modelId="{FF7543E3-BFB7-3C44-936D-9BD6609A1EC2}" type="presParOf" srcId="{7E2435DC-6F26-3D4E-982E-B3D2B2E1EA7C}" destId="{327DB59E-2C06-7842-A715-028DD0A5F6CA}" srcOrd="0" destOrd="0" presId="urn:microsoft.com/office/officeart/2005/8/layout/hierarchy6"/>
    <dgm:cxn modelId="{B9C5F15B-48B0-0E47-ABEF-8A2EF975F1FF}" type="presParOf" srcId="{7E2435DC-6F26-3D4E-982E-B3D2B2E1EA7C}" destId="{65D6E8DC-D3A6-774E-8E7C-82D41E47609C}" srcOrd="1" destOrd="0" presId="urn:microsoft.com/office/officeart/2005/8/layout/hierarchy6"/>
    <dgm:cxn modelId="{A34A4C9A-3C14-C44C-A375-B256EF1C23DC}" type="presParOf" srcId="{65D6E8DC-D3A6-774E-8E7C-82D41E47609C}" destId="{5ABAFB5E-6499-CF4F-857E-2C4570A333D4}" srcOrd="0" destOrd="0" presId="urn:microsoft.com/office/officeart/2005/8/layout/hierarchy6"/>
    <dgm:cxn modelId="{4A4FDDF2-A607-6F41-9676-455350C836CC}" type="presParOf" srcId="{65D6E8DC-D3A6-774E-8E7C-82D41E47609C}" destId="{8ED319A0-DD5E-2A45-A7E8-2F4BB4D71607}" srcOrd="1" destOrd="0" presId="urn:microsoft.com/office/officeart/2005/8/layout/hierarchy6"/>
    <dgm:cxn modelId="{CEB69FB4-744B-4F43-9B43-3C94BF1C1753}" type="presParOf" srcId="{7E2435DC-6F26-3D4E-982E-B3D2B2E1EA7C}" destId="{3E525824-9752-0641-8F58-74EB6E2657D6}" srcOrd="2" destOrd="0" presId="urn:microsoft.com/office/officeart/2005/8/layout/hierarchy6"/>
    <dgm:cxn modelId="{81CBA9EC-8912-344A-A876-3B7A210BEADC}" type="presParOf" srcId="{7E2435DC-6F26-3D4E-982E-B3D2B2E1EA7C}" destId="{44A8B3F9-8016-B14C-8B73-745CEAE1112C}" srcOrd="3" destOrd="0" presId="urn:microsoft.com/office/officeart/2005/8/layout/hierarchy6"/>
    <dgm:cxn modelId="{EC4E9722-CE04-064A-9F8B-824B50256D03}" type="presParOf" srcId="{44A8B3F9-8016-B14C-8B73-745CEAE1112C}" destId="{BF2E9742-AD2A-C147-9AA2-E39FB9A3E90E}" srcOrd="0" destOrd="0" presId="urn:microsoft.com/office/officeart/2005/8/layout/hierarchy6"/>
    <dgm:cxn modelId="{1B969EAF-D235-F54B-9E07-BC9D9DE323B0}" type="presParOf" srcId="{44A8B3F9-8016-B14C-8B73-745CEAE1112C}" destId="{302E5B5F-78BB-174C-82B9-25A59FE55D20}" srcOrd="1" destOrd="0" presId="urn:microsoft.com/office/officeart/2005/8/layout/hierarchy6"/>
    <dgm:cxn modelId="{90253E7F-D3D5-3A44-A173-4B85BEDD7D6B}" type="presParOf" srcId="{0FE23C50-951D-444A-8439-0626292E4F6A}" destId="{0F8FCD08-4226-3340-86C8-477B4E0F7C14}"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D8829A-DA0E-194D-B569-47151CE927AD}">
      <dsp:nvSpPr>
        <dsp:cNvPr id="0" name=""/>
        <dsp:cNvSpPr/>
      </dsp:nvSpPr>
      <dsp:spPr>
        <a:xfrm>
          <a:off x="649215" y="469215"/>
          <a:ext cx="4792863" cy="857181"/>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0" i="0" kern="1200">
              <a:latin typeface="MS Reference Sans Serif" panose="020B0604030504040204" pitchFamily="34" charset="0"/>
              <a:ea typeface="Verdana" panose="020B0604030504040204" pitchFamily="34" charset="0"/>
              <a:cs typeface="Verdana" panose="020B0604030504040204" pitchFamily="34" charset="0"/>
            </a:rPr>
            <a:t>POLICY TYPE</a:t>
          </a:r>
        </a:p>
        <a:p>
          <a:pPr marL="0" lvl="0" indent="0" algn="ctr" defTabSz="355600">
            <a:lnSpc>
              <a:spcPct val="90000"/>
            </a:lnSpc>
            <a:spcBef>
              <a:spcPct val="0"/>
            </a:spcBef>
            <a:spcAft>
              <a:spcPct val="35000"/>
            </a:spcAft>
            <a:buNone/>
          </a:pPr>
          <a:r>
            <a:rPr lang="en-US" sz="800" b="0" i="0" kern="1200">
              <a:latin typeface="MS Reference Sans Serif" panose="020B0604030504040204" pitchFamily="34" charset="0"/>
              <a:ea typeface="Verdana" panose="020B0604030504040204" pitchFamily="34" charset="0"/>
              <a:cs typeface="Verdana" panose="020B0604030504040204" pitchFamily="34" charset="0"/>
            </a:rPr>
            <a:t>Homeowner</a:t>
          </a:r>
          <a:r>
            <a:rPr lang="en-US" sz="800" kern="1200">
              <a:latin typeface="MS Reference Sans Serif" panose="020B0604030504040204" pitchFamily="34" charset="0"/>
            </a:rPr>
            <a:t> (HO), Dwelling Fire Owner-Occupied (DO), Dwelling Fire Tenant-Occupied (DT), Renter's/Tenants (RT)</a:t>
          </a:r>
        </a:p>
      </dsp:txBody>
      <dsp:txXfrm>
        <a:off x="674321" y="494321"/>
        <a:ext cx="4742651" cy="806969"/>
      </dsp:txXfrm>
    </dsp:sp>
    <dsp:sp modelId="{7076C335-D55D-7C4A-85B4-E3932A595267}">
      <dsp:nvSpPr>
        <dsp:cNvPr id="0" name=""/>
        <dsp:cNvSpPr/>
      </dsp:nvSpPr>
      <dsp:spPr>
        <a:xfrm>
          <a:off x="1476346" y="1326397"/>
          <a:ext cx="1569301" cy="142924"/>
        </a:xfrm>
        <a:custGeom>
          <a:avLst/>
          <a:gdLst/>
          <a:ahLst/>
          <a:cxnLst/>
          <a:rect l="0" t="0" r="0" b="0"/>
          <a:pathLst>
            <a:path>
              <a:moveTo>
                <a:pt x="1569301" y="0"/>
              </a:moveTo>
              <a:lnTo>
                <a:pt x="1569301" y="71462"/>
              </a:lnTo>
              <a:lnTo>
                <a:pt x="0" y="71462"/>
              </a:lnTo>
              <a:lnTo>
                <a:pt x="0" y="142924"/>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31666E-0363-E241-AD9D-5F130ACD55EA}">
      <dsp:nvSpPr>
        <dsp:cNvPr id="0" name=""/>
        <dsp:cNvSpPr/>
      </dsp:nvSpPr>
      <dsp:spPr>
        <a:xfrm>
          <a:off x="328697" y="1469321"/>
          <a:ext cx="2295297" cy="264645"/>
        </a:xfrm>
        <a:prstGeom prst="roundRect">
          <a:avLst>
            <a:gd name="adj" fmla="val 10000"/>
          </a:avLst>
        </a:prstGeom>
        <a:solidFill>
          <a:schemeClr val="tx1">
            <a:lumMod val="85000"/>
            <a:lumOff val="1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NON-CATASTROPHIC FIRE (HO-NC, DO-NC, DT-NC, RT-NC) </a:t>
          </a:r>
        </a:p>
      </dsp:txBody>
      <dsp:txXfrm>
        <a:off x="336448" y="1477072"/>
        <a:ext cx="2279795" cy="249143"/>
      </dsp:txXfrm>
    </dsp:sp>
    <dsp:sp modelId="{AE32C903-C78E-8041-AEA7-D4A81FD521FC}">
      <dsp:nvSpPr>
        <dsp:cNvPr id="0" name=""/>
        <dsp:cNvSpPr/>
      </dsp:nvSpPr>
      <dsp:spPr>
        <a:xfrm>
          <a:off x="664043" y="1733967"/>
          <a:ext cx="812302" cy="142924"/>
        </a:xfrm>
        <a:custGeom>
          <a:avLst/>
          <a:gdLst/>
          <a:ahLst/>
          <a:cxnLst/>
          <a:rect l="0" t="0" r="0" b="0"/>
          <a:pathLst>
            <a:path>
              <a:moveTo>
                <a:pt x="812302" y="0"/>
              </a:moveTo>
              <a:lnTo>
                <a:pt x="812302" y="71462"/>
              </a:lnTo>
              <a:lnTo>
                <a:pt x="0" y="71462"/>
              </a:lnTo>
              <a:lnTo>
                <a:pt x="0" y="142924"/>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C7EDB2-8104-4C4E-89B6-F093DFC12E18}">
      <dsp:nvSpPr>
        <dsp:cNvPr id="0" name=""/>
        <dsp:cNvSpPr/>
      </dsp:nvSpPr>
      <dsp:spPr>
        <a:xfrm>
          <a:off x="769" y="1876891"/>
          <a:ext cx="1326548" cy="488604"/>
        </a:xfrm>
        <a:prstGeom prst="roundRect">
          <a:avLst>
            <a:gd name="adj" fmla="val 10000"/>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Coverage A: Structural Damage</a:t>
          </a:r>
        </a:p>
        <a:p>
          <a:pPr marL="0" lvl="0" indent="0" algn="ctr" defTabSz="355600">
            <a:lnSpc>
              <a:spcPct val="90000"/>
            </a:lnSpc>
            <a:spcBef>
              <a:spcPct val="0"/>
            </a:spcBef>
            <a:spcAft>
              <a:spcPct val="35000"/>
            </a:spcAft>
            <a:buNone/>
          </a:pPr>
          <a:r>
            <a:rPr lang="en-US" sz="800" kern="1200"/>
            <a:t>(HO-NC-A, DO-NC-A, DT-NC-A, RT-NC-A)</a:t>
          </a:r>
        </a:p>
      </dsp:txBody>
      <dsp:txXfrm>
        <a:off x="15080" y="1891202"/>
        <a:ext cx="1297926" cy="459982"/>
      </dsp:txXfrm>
    </dsp:sp>
    <dsp:sp modelId="{2E26E046-F483-904C-8AC5-06382BFD858B}">
      <dsp:nvSpPr>
        <dsp:cNvPr id="0" name=""/>
        <dsp:cNvSpPr/>
      </dsp:nvSpPr>
      <dsp:spPr>
        <a:xfrm>
          <a:off x="288223" y="2365496"/>
          <a:ext cx="375819" cy="150878"/>
        </a:xfrm>
        <a:custGeom>
          <a:avLst/>
          <a:gdLst/>
          <a:ahLst/>
          <a:cxnLst/>
          <a:rect l="0" t="0" r="0" b="0"/>
          <a:pathLst>
            <a:path>
              <a:moveTo>
                <a:pt x="375819" y="0"/>
              </a:moveTo>
              <a:lnTo>
                <a:pt x="375819" y="75439"/>
              </a:lnTo>
              <a:lnTo>
                <a:pt x="0" y="75439"/>
              </a:lnTo>
              <a:lnTo>
                <a:pt x="0" y="150878"/>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5E9C67-6F84-0946-AA2D-978853723A22}">
      <dsp:nvSpPr>
        <dsp:cNvPr id="0" name=""/>
        <dsp:cNvSpPr/>
      </dsp:nvSpPr>
      <dsp:spPr>
        <a:xfrm>
          <a:off x="0" y="2516374"/>
          <a:ext cx="576447" cy="425410"/>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t>FIRE damage</a:t>
          </a:r>
        </a:p>
        <a:p>
          <a:pPr marL="0" lvl="0" indent="0" algn="ctr" defTabSz="311150">
            <a:lnSpc>
              <a:spcPct val="90000"/>
            </a:lnSpc>
            <a:spcBef>
              <a:spcPct val="0"/>
            </a:spcBef>
            <a:spcAft>
              <a:spcPct val="35000"/>
            </a:spcAft>
            <a:buNone/>
          </a:pPr>
          <a:r>
            <a:rPr lang="en-US" sz="700" kern="1200"/>
            <a:t>(HO-NC-A-F)</a:t>
          </a:r>
        </a:p>
      </dsp:txBody>
      <dsp:txXfrm>
        <a:off x="12460" y="2528834"/>
        <a:ext cx="551527" cy="400490"/>
      </dsp:txXfrm>
    </dsp:sp>
    <dsp:sp modelId="{8FD61117-8698-FC4B-B424-68172C46411B}">
      <dsp:nvSpPr>
        <dsp:cNvPr id="0" name=""/>
        <dsp:cNvSpPr/>
      </dsp:nvSpPr>
      <dsp:spPr>
        <a:xfrm>
          <a:off x="664043" y="2365496"/>
          <a:ext cx="368618" cy="158603"/>
        </a:xfrm>
        <a:custGeom>
          <a:avLst/>
          <a:gdLst/>
          <a:ahLst/>
          <a:cxnLst/>
          <a:rect l="0" t="0" r="0" b="0"/>
          <a:pathLst>
            <a:path>
              <a:moveTo>
                <a:pt x="0" y="0"/>
              </a:moveTo>
              <a:lnTo>
                <a:pt x="0" y="79301"/>
              </a:lnTo>
              <a:lnTo>
                <a:pt x="368618" y="79301"/>
              </a:lnTo>
              <a:lnTo>
                <a:pt x="368618" y="158603"/>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3C2B5-F0FA-7344-AB55-E32CEBDBEB55}">
      <dsp:nvSpPr>
        <dsp:cNvPr id="0" name=""/>
        <dsp:cNvSpPr/>
      </dsp:nvSpPr>
      <dsp:spPr>
        <a:xfrm>
          <a:off x="745226" y="2524099"/>
          <a:ext cx="574872" cy="426025"/>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t>SMOKE damage</a:t>
          </a:r>
        </a:p>
        <a:p>
          <a:pPr marL="0" lvl="0" indent="0" algn="ctr" defTabSz="311150">
            <a:lnSpc>
              <a:spcPct val="90000"/>
            </a:lnSpc>
            <a:spcBef>
              <a:spcPct val="0"/>
            </a:spcBef>
            <a:spcAft>
              <a:spcPct val="35000"/>
            </a:spcAft>
            <a:buNone/>
          </a:pPr>
          <a:r>
            <a:rPr lang="en-US" sz="700" kern="1200"/>
            <a:t>(HO-NC-A-S)</a:t>
          </a:r>
        </a:p>
      </dsp:txBody>
      <dsp:txXfrm>
        <a:off x="757704" y="2536577"/>
        <a:ext cx="549916" cy="401069"/>
      </dsp:txXfrm>
    </dsp:sp>
    <dsp:sp modelId="{6DD758F6-2CA9-C345-858A-DD7829F2A6EB}">
      <dsp:nvSpPr>
        <dsp:cNvPr id="0" name=""/>
        <dsp:cNvSpPr/>
      </dsp:nvSpPr>
      <dsp:spPr>
        <a:xfrm>
          <a:off x="1476346" y="1733967"/>
          <a:ext cx="735946" cy="150649"/>
        </a:xfrm>
        <a:custGeom>
          <a:avLst/>
          <a:gdLst/>
          <a:ahLst/>
          <a:cxnLst/>
          <a:rect l="0" t="0" r="0" b="0"/>
          <a:pathLst>
            <a:path>
              <a:moveTo>
                <a:pt x="0" y="0"/>
              </a:moveTo>
              <a:lnTo>
                <a:pt x="0" y="75324"/>
              </a:lnTo>
              <a:lnTo>
                <a:pt x="735946" y="75324"/>
              </a:lnTo>
              <a:lnTo>
                <a:pt x="735946" y="150649"/>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B32469-29E3-964B-8ACB-564655212EB6}">
      <dsp:nvSpPr>
        <dsp:cNvPr id="0" name=""/>
        <dsp:cNvSpPr/>
      </dsp:nvSpPr>
      <dsp:spPr>
        <a:xfrm>
          <a:off x="1480384" y="1884616"/>
          <a:ext cx="1463815" cy="496315"/>
        </a:xfrm>
        <a:prstGeom prst="roundRect">
          <a:avLst>
            <a:gd name="adj" fmla="val 10000"/>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Coverage C: Property damage</a:t>
          </a:r>
        </a:p>
        <a:p>
          <a:pPr marL="0" lvl="0" indent="0" algn="ctr" defTabSz="355600">
            <a:lnSpc>
              <a:spcPct val="90000"/>
            </a:lnSpc>
            <a:spcBef>
              <a:spcPct val="0"/>
            </a:spcBef>
            <a:spcAft>
              <a:spcPct val="35000"/>
            </a:spcAft>
            <a:buNone/>
          </a:pPr>
          <a:r>
            <a:rPr lang="en-US" sz="800" kern="1200"/>
            <a:t>(HO-NC-C, DO-NC-C, DT-NC-C, RT-NC-C</a:t>
          </a:r>
          <a:r>
            <a:rPr lang="en-US" sz="700" kern="1200"/>
            <a:t>)</a:t>
          </a:r>
          <a:endParaRPr lang="en-US" sz="600" kern="1200"/>
        </a:p>
      </dsp:txBody>
      <dsp:txXfrm>
        <a:off x="1494921" y="1899153"/>
        <a:ext cx="1434741" cy="467241"/>
      </dsp:txXfrm>
    </dsp:sp>
    <dsp:sp modelId="{82A5728C-2650-FB49-A790-DDC050F80564}">
      <dsp:nvSpPr>
        <dsp:cNvPr id="0" name=""/>
        <dsp:cNvSpPr/>
      </dsp:nvSpPr>
      <dsp:spPr>
        <a:xfrm>
          <a:off x="1854427" y="2380932"/>
          <a:ext cx="357864" cy="135199"/>
        </a:xfrm>
        <a:custGeom>
          <a:avLst/>
          <a:gdLst/>
          <a:ahLst/>
          <a:cxnLst/>
          <a:rect l="0" t="0" r="0" b="0"/>
          <a:pathLst>
            <a:path>
              <a:moveTo>
                <a:pt x="357864" y="0"/>
              </a:moveTo>
              <a:lnTo>
                <a:pt x="357864" y="67599"/>
              </a:lnTo>
              <a:lnTo>
                <a:pt x="0" y="67599"/>
              </a:lnTo>
              <a:lnTo>
                <a:pt x="0" y="135199"/>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14B495-228B-C64F-A79D-5061A6B2AC3A}">
      <dsp:nvSpPr>
        <dsp:cNvPr id="0" name=""/>
        <dsp:cNvSpPr/>
      </dsp:nvSpPr>
      <dsp:spPr>
        <a:xfrm>
          <a:off x="1570121" y="2516131"/>
          <a:ext cx="568612" cy="419272"/>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t>FIRE damage</a:t>
          </a:r>
        </a:p>
        <a:p>
          <a:pPr marL="0" lvl="0" indent="0" algn="ctr" defTabSz="311150">
            <a:lnSpc>
              <a:spcPct val="90000"/>
            </a:lnSpc>
            <a:spcBef>
              <a:spcPct val="0"/>
            </a:spcBef>
            <a:spcAft>
              <a:spcPct val="35000"/>
            </a:spcAft>
            <a:buNone/>
          </a:pPr>
          <a:r>
            <a:rPr lang="en-US" sz="700" kern="1200"/>
            <a:t>(HO-NC-C-F)</a:t>
          </a:r>
        </a:p>
      </dsp:txBody>
      <dsp:txXfrm>
        <a:off x="1582401" y="2528411"/>
        <a:ext cx="544052" cy="394712"/>
      </dsp:txXfrm>
    </dsp:sp>
    <dsp:sp modelId="{0DB341B2-6527-B14F-8EA0-0265DC3480D2}">
      <dsp:nvSpPr>
        <dsp:cNvPr id="0" name=""/>
        <dsp:cNvSpPr/>
      </dsp:nvSpPr>
      <dsp:spPr>
        <a:xfrm>
          <a:off x="2212292" y="2380932"/>
          <a:ext cx="372424" cy="135199"/>
        </a:xfrm>
        <a:custGeom>
          <a:avLst/>
          <a:gdLst/>
          <a:ahLst/>
          <a:cxnLst/>
          <a:rect l="0" t="0" r="0" b="0"/>
          <a:pathLst>
            <a:path>
              <a:moveTo>
                <a:pt x="0" y="0"/>
              </a:moveTo>
              <a:lnTo>
                <a:pt x="0" y="67599"/>
              </a:lnTo>
              <a:lnTo>
                <a:pt x="372424" y="67599"/>
              </a:lnTo>
              <a:lnTo>
                <a:pt x="372424" y="135199"/>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2C9C9D-AAE6-E446-B1ED-8E68150903F3}">
      <dsp:nvSpPr>
        <dsp:cNvPr id="0" name=""/>
        <dsp:cNvSpPr/>
      </dsp:nvSpPr>
      <dsp:spPr>
        <a:xfrm>
          <a:off x="2299523" y="2516131"/>
          <a:ext cx="570386" cy="419272"/>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t>SMOKE damage</a:t>
          </a:r>
        </a:p>
        <a:p>
          <a:pPr marL="0" lvl="0" indent="0" algn="ctr" defTabSz="311150">
            <a:lnSpc>
              <a:spcPct val="90000"/>
            </a:lnSpc>
            <a:spcBef>
              <a:spcPct val="0"/>
            </a:spcBef>
            <a:spcAft>
              <a:spcPct val="35000"/>
            </a:spcAft>
            <a:buNone/>
          </a:pPr>
          <a:r>
            <a:rPr lang="en-US" sz="700" kern="1200"/>
            <a:t>(HO-NC-C-S)</a:t>
          </a:r>
        </a:p>
      </dsp:txBody>
      <dsp:txXfrm>
        <a:off x="2311803" y="2528411"/>
        <a:ext cx="545826" cy="394712"/>
      </dsp:txXfrm>
    </dsp:sp>
    <dsp:sp modelId="{D04FFF80-C1C3-BF4B-93D4-DBBC1D908BF4}">
      <dsp:nvSpPr>
        <dsp:cNvPr id="0" name=""/>
        <dsp:cNvSpPr/>
      </dsp:nvSpPr>
      <dsp:spPr>
        <a:xfrm>
          <a:off x="3045647" y="1326397"/>
          <a:ext cx="1655479" cy="142924"/>
        </a:xfrm>
        <a:custGeom>
          <a:avLst/>
          <a:gdLst/>
          <a:ahLst/>
          <a:cxnLst/>
          <a:rect l="0" t="0" r="0" b="0"/>
          <a:pathLst>
            <a:path>
              <a:moveTo>
                <a:pt x="0" y="0"/>
              </a:moveTo>
              <a:lnTo>
                <a:pt x="0" y="71462"/>
              </a:lnTo>
              <a:lnTo>
                <a:pt x="1655479" y="71462"/>
              </a:lnTo>
              <a:lnTo>
                <a:pt x="1655479" y="142924"/>
              </a:lnTo>
            </a:path>
          </a:pathLst>
        </a:custGeom>
        <a:noFill/>
        <a:ln w="12700" cap="flat" cmpd="sng" algn="ctr">
          <a:solidFill>
            <a:schemeClr val="accent3">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78EE6E-D9B4-C24C-B6C6-BE37C49317B5}">
      <dsp:nvSpPr>
        <dsp:cNvPr id="0" name=""/>
        <dsp:cNvSpPr/>
      </dsp:nvSpPr>
      <dsp:spPr>
        <a:xfrm>
          <a:off x="3639656" y="1469321"/>
          <a:ext cx="2122941" cy="324088"/>
        </a:xfrm>
        <a:prstGeom prst="roundRect">
          <a:avLst>
            <a:gd name="adj" fmla="val 10000"/>
          </a:avLst>
        </a:prstGeom>
        <a:solidFill>
          <a:schemeClr val="tx1">
            <a:lumMod val="85000"/>
            <a:lumOff val="1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CATASTROPHIC FIRE (HO-C, DO-C, DT-C, RT-c)</a:t>
          </a:r>
        </a:p>
      </dsp:txBody>
      <dsp:txXfrm>
        <a:off x="3649148" y="1478813"/>
        <a:ext cx="2103957" cy="305104"/>
      </dsp:txXfrm>
    </dsp:sp>
    <dsp:sp modelId="{EC3D5994-BA99-4942-8F70-615C36257BF7}">
      <dsp:nvSpPr>
        <dsp:cNvPr id="0" name=""/>
        <dsp:cNvSpPr/>
      </dsp:nvSpPr>
      <dsp:spPr>
        <a:xfrm>
          <a:off x="3913551" y="1793409"/>
          <a:ext cx="787575" cy="142924"/>
        </a:xfrm>
        <a:custGeom>
          <a:avLst/>
          <a:gdLst/>
          <a:ahLst/>
          <a:cxnLst/>
          <a:rect l="0" t="0" r="0" b="0"/>
          <a:pathLst>
            <a:path>
              <a:moveTo>
                <a:pt x="787575" y="0"/>
              </a:moveTo>
              <a:lnTo>
                <a:pt x="787575" y="71462"/>
              </a:lnTo>
              <a:lnTo>
                <a:pt x="0" y="71462"/>
              </a:lnTo>
              <a:lnTo>
                <a:pt x="0" y="142924"/>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E4FF44-FA84-F048-BFB3-C29E14942318}">
      <dsp:nvSpPr>
        <dsp:cNvPr id="0" name=""/>
        <dsp:cNvSpPr/>
      </dsp:nvSpPr>
      <dsp:spPr>
        <a:xfrm>
          <a:off x="3112712" y="1936334"/>
          <a:ext cx="1601676" cy="490423"/>
        </a:xfrm>
        <a:prstGeom prst="roundRect">
          <a:avLst>
            <a:gd name="adj" fmla="val 10000"/>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Coverage A : Structural Damage</a:t>
          </a:r>
        </a:p>
        <a:p>
          <a:pPr marL="0" lvl="0" indent="0" algn="ctr" defTabSz="355600">
            <a:lnSpc>
              <a:spcPct val="90000"/>
            </a:lnSpc>
            <a:spcBef>
              <a:spcPct val="0"/>
            </a:spcBef>
            <a:spcAft>
              <a:spcPct val="35000"/>
            </a:spcAft>
            <a:buNone/>
          </a:pPr>
          <a:r>
            <a:rPr lang="en-US" sz="800" kern="1200"/>
            <a:t>(HO-C-A, DO-C-A, DT-C-A, RT-C-A</a:t>
          </a:r>
          <a:r>
            <a:rPr lang="en-US" sz="700" kern="1200"/>
            <a:t>)</a:t>
          </a:r>
        </a:p>
      </dsp:txBody>
      <dsp:txXfrm>
        <a:off x="3127076" y="1950698"/>
        <a:ext cx="1572948" cy="461695"/>
      </dsp:txXfrm>
    </dsp:sp>
    <dsp:sp modelId="{EAE133AC-9CB1-5B41-9946-344F4D323300}">
      <dsp:nvSpPr>
        <dsp:cNvPr id="0" name=""/>
        <dsp:cNvSpPr/>
      </dsp:nvSpPr>
      <dsp:spPr>
        <a:xfrm>
          <a:off x="3546998" y="2426757"/>
          <a:ext cx="366552" cy="142924"/>
        </a:xfrm>
        <a:custGeom>
          <a:avLst/>
          <a:gdLst/>
          <a:ahLst/>
          <a:cxnLst/>
          <a:rect l="0" t="0" r="0" b="0"/>
          <a:pathLst>
            <a:path>
              <a:moveTo>
                <a:pt x="366552" y="0"/>
              </a:moveTo>
              <a:lnTo>
                <a:pt x="366552" y="71462"/>
              </a:lnTo>
              <a:lnTo>
                <a:pt x="0" y="71462"/>
              </a:lnTo>
              <a:lnTo>
                <a:pt x="0" y="142924"/>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B03926-50E8-8E4E-9986-80FBA45D74B4}">
      <dsp:nvSpPr>
        <dsp:cNvPr id="0" name=""/>
        <dsp:cNvSpPr/>
      </dsp:nvSpPr>
      <dsp:spPr>
        <a:xfrm>
          <a:off x="3259956" y="2569681"/>
          <a:ext cx="574084" cy="415502"/>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t>FIRE damage</a:t>
          </a:r>
        </a:p>
        <a:p>
          <a:pPr marL="0" lvl="0" indent="0" algn="ctr" defTabSz="311150">
            <a:lnSpc>
              <a:spcPct val="90000"/>
            </a:lnSpc>
            <a:spcBef>
              <a:spcPct val="0"/>
            </a:spcBef>
            <a:spcAft>
              <a:spcPct val="35000"/>
            </a:spcAft>
            <a:buNone/>
          </a:pPr>
          <a:r>
            <a:rPr lang="en-US" sz="700" kern="1200"/>
            <a:t>(HO-C-A-F)</a:t>
          </a:r>
        </a:p>
      </dsp:txBody>
      <dsp:txXfrm>
        <a:off x="3272126" y="2581851"/>
        <a:ext cx="549744" cy="391162"/>
      </dsp:txXfrm>
    </dsp:sp>
    <dsp:sp modelId="{0B5B37C5-7280-1D49-961A-B66F76DA1E1E}">
      <dsp:nvSpPr>
        <dsp:cNvPr id="0" name=""/>
        <dsp:cNvSpPr/>
      </dsp:nvSpPr>
      <dsp:spPr>
        <a:xfrm>
          <a:off x="3913551" y="2426757"/>
          <a:ext cx="367437" cy="142924"/>
        </a:xfrm>
        <a:custGeom>
          <a:avLst/>
          <a:gdLst/>
          <a:ahLst/>
          <a:cxnLst/>
          <a:rect l="0" t="0" r="0" b="0"/>
          <a:pathLst>
            <a:path>
              <a:moveTo>
                <a:pt x="0" y="0"/>
              </a:moveTo>
              <a:lnTo>
                <a:pt x="0" y="71462"/>
              </a:lnTo>
              <a:lnTo>
                <a:pt x="367437" y="71462"/>
              </a:lnTo>
              <a:lnTo>
                <a:pt x="367437" y="142924"/>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0E6A18-7A96-DB41-94DB-B88F07FA3EF5}">
      <dsp:nvSpPr>
        <dsp:cNvPr id="0" name=""/>
        <dsp:cNvSpPr/>
      </dsp:nvSpPr>
      <dsp:spPr>
        <a:xfrm>
          <a:off x="3994830" y="2569681"/>
          <a:ext cx="572315" cy="415502"/>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t>SMOKE damage</a:t>
          </a:r>
        </a:p>
        <a:p>
          <a:pPr marL="0" lvl="0" indent="0" algn="ctr" defTabSz="311150">
            <a:lnSpc>
              <a:spcPct val="90000"/>
            </a:lnSpc>
            <a:spcBef>
              <a:spcPct val="0"/>
            </a:spcBef>
            <a:spcAft>
              <a:spcPct val="35000"/>
            </a:spcAft>
            <a:buNone/>
          </a:pPr>
          <a:r>
            <a:rPr lang="en-US" sz="700" kern="1200"/>
            <a:t>(HO-C-A-S)</a:t>
          </a:r>
        </a:p>
      </dsp:txBody>
      <dsp:txXfrm>
        <a:off x="4007000" y="2581851"/>
        <a:ext cx="547975" cy="391162"/>
      </dsp:txXfrm>
    </dsp:sp>
    <dsp:sp modelId="{DF957434-DF12-E345-86D7-ADDAE3BABABA}">
      <dsp:nvSpPr>
        <dsp:cNvPr id="0" name=""/>
        <dsp:cNvSpPr/>
      </dsp:nvSpPr>
      <dsp:spPr>
        <a:xfrm>
          <a:off x="4701126" y="1793409"/>
          <a:ext cx="881233" cy="142924"/>
        </a:xfrm>
        <a:custGeom>
          <a:avLst/>
          <a:gdLst/>
          <a:ahLst/>
          <a:cxnLst/>
          <a:rect l="0" t="0" r="0" b="0"/>
          <a:pathLst>
            <a:path>
              <a:moveTo>
                <a:pt x="0" y="0"/>
              </a:moveTo>
              <a:lnTo>
                <a:pt x="0" y="71462"/>
              </a:lnTo>
              <a:lnTo>
                <a:pt x="881233" y="71462"/>
              </a:lnTo>
              <a:lnTo>
                <a:pt x="881233" y="142924"/>
              </a:lnTo>
            </a:path>
          </a:pathLst>
        </a:custGeom>
        <a:noFill/>
        <a:ln w="12700" cap="flat" cmpd="sng" algn="ctr">
          <a:solidFill>
            <a:schemeClr val="accent3">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D8330-0EBD-074B-9EE3-26B81B4C50DA}">
      <dsp:nvSpPr>
        <dsp:cNvPr id="0" name=""/>
        <dsp:cNvSpPr/>
      </dsp:nvSpPr>
      <dsp:spPr>
        <a:xfrm>
          <a:off x="4875179" y="1936334"/>
          <a:ext cx="1414361" cy="435415"/>
        </a:xfrm>
        <a:prstGeom prst="roundRect">
          <a:avLst>
            <a:gd name="adj" fmla="val 10000"/>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Coverage C: Property damage</a:t>
          </a:r>
        </a:p>
        <a:p>
          <a:pPr marL="0" lvl="0" indent="0" algn="ctr" defTabSz="355600">
            <a:lnSpc>
              <a:spcPct val="90000"/>
            </a:lnSpc>
            <a:spcBef>
              <a:spcPct val="0"/>
            </a:spcBef>
            <a:spcAft>
              <a:spcPct val="35000"/>
            </a:spcAft>
            <a:buNone/>
          </a:pPr>
          <a:r>
            <a:rPr lang="en-US" sz="800" kern="1200"/>
            <a:t>(HO-C-C, DO-C-C, DT-C-C, RT-C-C) </a:t>
          </a:r>
        </a:p>
      </dsp:txBody>
      <dsp:txXfrm>
        <a:off x="4887932" y="1949087"/>
        <a:ext cx="1388855" cy="409909"/>
      </dsp:txXfrm>
    </dsp:sp>
    <dsp:sp modelId="{327DB59E-2C06-7842-A715-028DD0A5F6CA}">
      <dsp:nvSpPr>
        <dsp:cNvPr id="0" name=""/>
        <dsp:cNvSpPr/>
      </dsp:nvSpPr>
      <dsp:spPr>
        <a:xfrm>
          <a:off x="5214810" y="2371749"/>
          <a:ext cx="367549" cy="142924"/>
        </a:xfrm>
        <a:custGeom>
          <a:avLst/>
          <a:gdLst/>
          <a:ahLst/>
          <a:cxnLst/>
          <a:rect l="0" t="0" r="0" b="0"/>
          <a:pathLst>
            <a:path>
              <a:moveTo>
                <a:pt x="367549" y="0"/>
              </a:moveTo>
              <a:lnTo>
                <a:pt x="367549" y="71462"/>
              </a:lnTo>
              <a:lnTo>
                <a:pt x="0" y="71462"/>
              </a:lnTo>
              <a:lnTo>
                <a:pt x="0" y="142924"/>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BAFB5E-6499-CF4F-857E-2C4570A333D4}">
      <dsp:nvSpPr>
        <dsp:cNvPr id="0" name=""/>
        <dsp:cNvSpPr/>
      </dsp:nvSpPr>
      <dsp:spPr>
        <a:xfrm>
          <a:off x="4928617" y="2514673"/>
          <a:ext cx="572385" cy="423559"/>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t>FIRE damage</a:t>
          </a:r>
        </a:p>
        <a:p>
          <a:pPr marL="0" lvl="0" indent="0" algn="ctr" defTabSz="311150">
            <a:lnSpc>
              <a:spcPct val="90000"/>
            </a:lnSpc>
            <a:spcBef>
              <a:spcPct val="0"/>
            </a:spcBef>
            <a:spcAft>
              <a:spcPct val="35000"/>
            </a:spcAft>
            <a:buNone/>
          </a:pPr>
          <a:r>
            <a:rPr lang="en-US" sz="700" b="0" kern="1200"/>
            <a:t>(HO-C-C-F)</a:t>
          </a:r>
        </a:p>
      </dsp:txBody>
      <dsp:txXfrm>
        <a:off x="4941023" y="2527079"/>
        <a:ext cx="547573" cy="398747"/>
      </dsp:txXfrm>
    </dsp:sp>
    <dsp:sp modelId="{3E525824-9752-0641-8F58-74EB6E2657D6}">
      <dsp:nvSpPr>
        <dsp:cNvPr id="0" name=""/>
        <dsp:cNvSpPr/>
      </dsp:nvSpPr>
      <dsp:spPr>
        <a:xfrm>
          <a:off x="5582360" y="2371749"/>
          <a:ext cx="366587" cy="142924"/>
        </a:xfrm>
        <a:custGeom>
          <a:avLst/>
          <a:gdLst/>
          <a:ahLst/>
          <a:cxnLst/>
          <a:rect l="0" t="0" r="0" b="0"/>
          <a:pathLst>
            <a:path>
              <a:moveTo>
                <a:pt x="0" y="0"/>
              </a:moveTo>
              <a:lnTo>
                <a:pt x="0" y="71462"/>
              </a:lnTo>
              <a:lnTo>
                <a:pt x="366587" y="71462"/>
              </a:lnTo>
              <a:lnTo>
                <a:pt x="366587" y="142924"/>
              </a:lnTo>
            </a:path>
          </a:pathLst>
        </a:custGeom>
        <a:noFill/>
        <a:ln w="12700" cap="flat" cmpd="sng" algn="ctr">
          <a:solidFill>
            <a:schemeClr val="accent3">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2E9742-AD2A-C147-9AA2-E39FB9A3E90E}">
      <dsp:nvSpPr>
        <dsp:cNvPr id="0" name=""/>
        <dsp:cNvSpPr/>
      </dsp:nvSpPr>
      <dsp:spPr>
        <a:xfrm>
          <a:off x="5661793" y="2514673"/>
          <a:ext cx="574309" cy="422527"/>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t>SMOKE damage</a:t>
          </a:r>
        </a:p>
        <a:p>
          <a:pPr marL="0" lvl="0" indent="0" algn="ctr" defTabSz="311150">
            <a:lnSpc>
              <a:spcPct val="90000"/>
            </a:lnSpc>
            <a:spcBef>
              <a:spcPct val="0"/>
            </a:spcBef>
            <a:spcAft>
              <a:spcPct val="35000"/>
            </a:spcAft>
            <a:buNone/>
          </a:pPr>
          <a:r>
            <a:rPr lang="en-US" sz="700" b="0" kern="1200"/>
            <a:t>(HO-C-C-S)</a:t>
          </a:r>
        </a:p>
      </dsp:txBody>
      <dsp:txXfrm>
        <a:off x="5674168" y="2527048"/>
        <a:ext cx="549559" cy="3977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Sayantani Sayantani</dc:creator>
  <cp:keywords/>
  <dc:description/>
  <cp:lastModifiedBy>Sayantani Sayantani</cp:lastModifiedBy>
  <cp:revision>3</cp:revision>
  <dcterms:created xsi:type="dcterms:W3CDTF">2024-05-03T22:04:00Z</dcterms:created>
  <dcterms:modified xsi:type="dcterms:W3CDTF">2024-05-03T22:10:00Z</dcterms:modified>
</cp:coreProperties>
</file>